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18" w:rsidRPr="004E2C18" w:rsidRDefault="00851201" w:rsidP="00851201">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rPr>
          <w:b/>
          <w:color w:val="548DD4" w:themeColor="text2" w:themeTint="99"/>
          <w:sz w:val="48"/>
        </w:rPr>
      </w:pPr>
      <w:r w:rsidRPr="00701452">
        <w:rPr>
          <w:noProof/>
          <w:color w:val="0070C0"/>
        </w:rPr>
        <w:drawing>
          <wp:inline distT="0" distB="0" distL="0" distR="0" wp14:anchorId="65121011" wp14:editId="00FF3738">
            <wp:extent cx="534010" cy="5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661" cy="527661"/>
                    </a:xfrm>
                    <a:prstGeom prst="rect">
                      <a:avLst/>
                    </a:prstGeom>
                  </pic:spPr>
                </pic:pic>
              </a:graphicData>
            </a:graphic>
          </wp:inline>
        </w:drawing>
      </w:r>
      <w:r w:rsidRPr="00851201">
        <w:rPr>
          <w:b/>
          <w:color w:val="548DD4" w:themeColor="text2" w:themeTint="99"/>
          <w:sz w:val="48"/>
        </w:rPr>
        <w:t xml:space="preserve">Office of Human Research Ethics Training Tips </w:t>
      </w:r>
    </w:p>
    <w:p w:rsidR="004E2C18" w:rsidRDefault="004E2C18" w:rsidP="004E2C18">
      <w:pPr>
        <w:spacing w:after="0"/>
      </w:pPr>
    </w:p>
    <w:p w:rsidR="004E2C18" w:rsidRPr="00D5522C" w:rsidRDefault="004E2C18" w:rsidP="004E2C18">
      <w:pPr>
        <w:spacing w:after="0"/>
        <w:jc w:val="center"/>
        <w:rPr>
          <w:b/>
          <w:sz w:val="36"/>
        </w:rPr>
      </w:pPr>
      <w:r w:rsidRPr="00D5522C">
        <w:rPr>
          <w:b/>
          <w:sz w:val="36"/>
        </w:rPr>
        <w:t>Use of Consultants by the IRB</w:t>
      </w:r>
    </w:p>
    <w:p w:rsidR="004E2C18" w:rsidRPr="00FC6EFF" w:rsidRDefault="004E2C18" w:rsidP="00FC6EFF">
      <w:pPr>
        <w:spacing w:after="0"/>
        <w:rPr>
          <w:b/>
        </w:rPr>
      </w:pPr>
    </w:p>
    <w:p w:rsidR="00FC6EFF" w:rsidRDefault="00FC6EFF" w:rsidP="00D5522C">
      <w:pPr>
        <w:pStyle w:val="Default"/>
        <w:jc w:val="center"/>
        <w:rPr>
          <w:rFonts w:asciiTheme="minorHAnsi" w:hAnsiTheme="minorHAnsi"/>
          <w:b/>
          <w:sz w:val="22"/>
          <w:szCs w:val="22"/>
          <w:u w:val="single"/>
        </w:rPr>
      </w:pPr>
      <w:r w:rsidRPr="00FC6EFF">
        <w:rPr>
          <w:rFonts w:asciiTheme="minorHAnsi" w:hAnsiTheme="minorHAnsi"/>
          <w:b/>
          <w:sz w:val="22"/>
          <w:szCs w:val="22"/>
          <w:u w:val="single"/>
        </w:rPr>
        <w:t xml:space="preserve">UNC SOP:  </w:t>
      </w:r>
      <w:r w:rsidRPr="00FC6EFF">
        <w:rPr>
          <w:rFonts w:asciiTheme="minorHAnsi" w:hAnsiTheme="minorHAnsi"/>
          <w:b/>
          <w:sz w:val="22"/>
          <w:szCs w:val="22"/>
          <w:u w:val="single"/>
        </w:rPr>
        <w:t>4.7 Consultants</w:t>
      </w:r>
    </w:p>
    <w:p w:rsidR="00FC6EFF" w:rsidRPr="00FC6EFF" w:rsidRDefault="00FC6EFF" w:rsidP="00D5522C">
      <w:pPr>
        <w:autoSpaceDE w:val="0"/>
        <w:autoSpaceDN w:val="0"/>
        <w:adjustRightInd w:val="0"/>
        <w:spacing w:after="0"/>
        <w:jc w:val="center"/>
        <w:rPr>
          <w:rFonts w:cs="Calibri"/>
          <w:b/>
          <w:u w:val="single"/>
        </w:rPr>
      </w:pPr>
      <w:r w:rsidRPr="00FC6EFF">
        <w:rPr>
          <w:rFonts w:cs="Calibri"/>
          <w:b/>
          <w:u w:val="single"/>
        </w:rPr>
        <w:t xml:space="preserve">OHRP 45 CFR 46.107(f) &amp; </w:t>
      </w:r>
      <w:r w:rsidR="00AF5E7C" w:rsidRPr="00FC6EFF">
        <w:rPr>
          <w:rFonts w:cs="Calibri"/>
          <w:b/>
          <w:u w:val="single"/>
        </w:rPr>
        <w:t>FDA 21</w:t>
      </w:r>
      <w:r w:rsidRPr="00FC6EFF">
        <w:rPr>
          <w:rFonts w:cs="Calibri"/>
          <w:b/>
          <w:u w:val="single"/>
        </w:rPr>
        <w:t xml:space="preserve"> CFR 56.107(f)</w:t>
      </w:r>
    </w:p>
    <w:p w:rsidR="00FC6EFF" w:rsidRDefault="00FC6EFF" w:rsidP="00FC6EFF">
      <w:pPr>
        <w:pStyle w:val="Default"/>
        <w:rPr>
          <w:rFonts w:asciiTheme="minorHAnsi" w:hAnsiTheme="minorHAnsi"/>
          <w:sz w:val="22"/>
          <w:szCs w:val="22"/>
        </w:rPr>
      </w:pPr>
      <w:bookmarkStart w:id="0" w:name="_GoBack"/>
      <w:bookmarkEnd w:id="0"/>
    </w:p>
    <w:p w:rsidR="00D5522C" w:rsidRDefault="00D5522C" w:rsidP="00FC6EFF">
      <w:pPr>
        <w:pStyle w:val="Default"/>
        <w:rPr>
          <w:rFonts w:asciiTheme="minorHAnsi" w:hAnsiTheme="minorHAnsi"/>
          <w:sz w:val="22"/>
          <w:szCs w:val="22"/>
        </w:rPr>
      </w:pPr>
    </w:p>
    <w:p w:rsidR="00D5522C" w:rsidRDefault="00D5522C" w:rsidP="00FC6EFF">
      <w:pPr>
        <w:pStyle w:val="Default"/>
        <w:rPr>
          <w:rFonts w:asciiTheme="minorHAnsi" w:hAnsiTheme="minorHAnsi"/>
          <w:sz w:val="22"/>
          <w:szCs w:val="22"/>
        </w:rPr>
      </w:pPr>
    </w:p>
    <w:p w:rsidR="00D5522C" w:rsidRPr="00D5522C" w:rsidRDefault="00D5522C" w:rsidP="00FC6EFF">
      <w:pPr>
        <w:pStyle w:val="Default"/>
        <w:rPr>
          <w:rFonts w:asciiTheme="minorHAnsi" w:hAnsiTheme="minorHAnsi"/>
          <w:sz w:val="22"/>
          <w:szCs w:val="22"/>
        </w:rPr>
      </w:pPr>
      <w:r w:rsidRPr="00D5522C">
        <w:rPr>
          <w:rFonts w:asciiTheme="minorHAnsi" w:hAnsiTheme="minorHAnsi"/>
          <w:sz w:val="22"/>
          <w:szCs w:val="22"/>
        </w:rPr>
        <w:t>The UNC-Chapel Hill IRB may, at the discretion of the Chair or its members, invite individuals with competence in special areas and no conflict of interest with the study to assist in the review of issues that require expertise beyond or in addition to that available on the IRB.</w:t>
      </w:r>
    </w:p>
    <w:p w:rsidR="00FC6EFF" w:rsidRPr="00FC6EFF" w:rsidRDefault="00FC6EFF" w:rsidP="00FC6EFF">
      <w:pPr>
        <w:pStyle w:val="Default"/>
        <w:rPr>
          <w:rFonts w:asciiTheme="minorHAnsi" w:hAnsiTheme="minorHAnsi"/>
          <w:sz w:val="22"/>
          <w:szCs w:val="22"/>
        </w:rPr>
      </w:pPr>
    </w:p>
    <w:p w:rsidR="00D5522C" w:rsidRDefault="00D5522C" w:rsidP="00D5522C">
      <w:pPr>
        <w:autoSpaceDE w:val="0"/>
        <w:autoSpaceDN w:val="0"/>
        <w:adjustRightInd w:val="0"/>
        <w:spacing w:after="0"/>
        <w:rPr>
          <w:rFonts w:cs="Calibri"/>
          <w:b/>
          <w:u w:val="single"/>
        </w:rPr>
      </w:pPr>
    </w:p>
    <w:p w:rsidR="00D5522C" w:rsidRPr="00FC6EFF" w:rsidRDefault="00D5522C" w:rsidP="00D5522C">
      <w:pPr>
        <w:autoSpaceDE w:val="0"/>
        <w:autoSpaceDN w:val="0"/>
        <w:adjustRightInd w:val="0"/>
        <w:spacing w:after="0"/>
        <w:rPr>
          <w:rFonts w:cs="Calibri"/>
          <w:b/>
          <w:u w:val="single"/>
        </w:rPr>
      </w:pPr>
      <w:r w:rsidRPr="00FC6EFF">
        <w:rPr>
          <w:rFonts w:cs="Calibri"/>
          <w:b/>
          <w:u w:val="single"/>
        </w:rPr>
        <w:t>Consultants Are:</w:t>
      </w:r>
    </w:p>
    <w:p w:rsidR="00D5522C" w:rsidRDefault="00D5522C" w:rsidP="00FC6EFF">
      <w:pPr>
        <w:pStyle w:val="ListParagraph"/>
        <w:rPr>
          <w:rFonts w:asciiTheme="minorHAnsi" w:hAnsiTheme="minorHAnsi"/>
          <w:sz w:val="22"/>
          <w:szCs w:val="22"/>
        </w:rPr>
      </w:pPr>
    </w:p>
    <w:p w:rsidR="00D5522C" w:rsidRPr="00E94689" w:rsidRDefault="00D5522C" w:rsidP="00D13B45">
      <w:pPr>
        <w:pStyle w:val="Default"/>
        <w:numPr>
          <w:ilvl w:val="0"/>
          <w:numId w:val="1"/>
        </w:numPr>
        <w:rPr>
          <w:rFonts w:asciiTheme="minorHAnsi" w:hAnsiTheme="minorHAnsi"/>
          <w:sz w:val="22"/>
          <w:szCs w:val="22"/>
        </w:rPr>
      </w:pPr>
      <w:r w:rsidRPr="00E94689">
        <w:rPr>
          <w:rFonts w:asciiTheme="minorHAnsi" w:hAnsiTheme="minorHAnsi"/>
          <w:sz w:val="22"/>
          <w:szCs w:val="22"/>
        </w:rPr>
        <w:t xml:space="preserve">Consultants are selected because they have expertise in specialized areas needed </w:t>
      </w:r>
    </w:p>
    <w:p w:rsidR="00D5522C" w:rsidRDefault="00D5522C" w:rsidP="00D5522C">
      <w:pPr>
        <w:pStyle w:val="Default"/>
        <w:numPr>
          <w:ilvl w:val="0"/>
          <w:numId w:val="1"/>
        </w:numPr>
        <w:rPr>
          <w:rFonts w:asciiTheme="minorHAnsi" w:hAnsiTheme="minorHAnsi"/>
          <w:sz w:val="22"/>
          <w:szCs w:val="22"/>
        </w:rPr>
      </w:pPr>
      <w:r w:rsidRPr="00FC6EFF">
        <w:rPr>
          <w:rFonts w:asciiTheme="minorHAnsi" w:hAnsiTheme="minorHAnsi"/>
          <w:sz w:val="22"/>
          <w:szCs w:val="22"/>
        </w:rPr>
        <w:t xml:space="preserve">The IRB Chair and/or primary reviewer identifies the proposed consultant and contact the prospective consultant to request the needed assistance. </w:t>
      </w:r>
    </w:p>
    <w:p w:rsidR="00D5522C" w:rsidRDefault="00D5522C" w:rsidP="00D5522C">
      <w:pPr>
        <w:pStyle w:val="ListParagraph"/>
        <w:rPr>
          <w:rFonts w:asciiTheme="minorHAnsi" w:hAnsiTheme="minorHAnsi"/>
          <w:sz w:val="22"/>
          <w:szCs w:val="22"/>
        </w:rPr>
      </w:pPr>
    </w:p>
    <w:p w:rsidR="00FC6EFF" w:rsidRDefault="00FC6EFF" w:rsidP="00FC6EFF">
      <w:pPr>
        <w:pStyle w:val="Default"/>
        <w:numPr>
          <w:ilvl w:val="0"/>
          <w:numId w:val="1"/>
        </w:numPr>
        <w:rPr>
          <w:rFonts w:asciiTheme="minorHAnsi" w:hAnsiTheme="minorHAnsi"/>
          <w:sz w:val="22"/>
          <w:szCs w:val="22"/>
        </w:rPr>
      </w:pPr>
      <w:r w:rsidRPr="00FC6EFF">
        <w:rPr>
          <w:rFonts w:asciiTheme="minorHAnsi" w:hAnsiTheme="minorHAnsi"/>
          <w:sz w:val="22"/>
          <w:szCs w:val="22"/>
        </w:rPr>
        <w:t xml:space="preserve">Consultants may be drawn from another IRB or faculty from the UNC-Chapel Hill campus, or from outside the University. </w:t>
      </w:r>
    </w:p>
    <w:p w:rsidR="00FC6EFF" w:rsidRDefault="00FC6EFF" w:rsidP="00FC6EFF">
      <w:pPr>
        <w:pStyle w:val="ListParagraph"/>
        <w:rPr>
          <w:rFonts w:asciiTheme="minorHAnsi" w:hAnsiTheme="minorHAnsi"/>
          <w:sz w:val="22"/>
          <w:szCs w:val="22"/>
        </w:rPr>
      </w:pPr>
    </w:p>
    <w:p w:rsidR="00FC6EFF" w:rsidRPr="00FC6EFF" w:rsidRDefault="00FC6EFF" w:rsidP="00FC6EFF">
      <w:pPr>
        <w:pStyle w:val="Default"/>
        <w:numPr>
          <w:ilvl w:val="0"/>
          <w:numId w:val="1"/>
        </w:numPr>
        <w:rPr>
          <w:rFonts w:asciiTheme="minorHAnsi" w:hAnsiTheme="minorHAnsi"/>
          <w:sz w:val="22"/>
          <w:szCs w:val="22"/>
        </w:rPr>
      </w:pPr>
      <w:r w:rsidRPr="00FC6EFF">
        <w:rPr>
          <w:rFonts w:asciiTheme="minorHAnsi" w:hAnsiTheme="minorHAnsi"/>
          <w:sz w:val="22"/>
          <w:szCs w:val="22"/>
        </w:rPr>
        <w:t>Consultants are asked to disclose any relevant conflicts of interest</w:t>
      </w:r>
      <w:r w:rsidR="00E94689">
        <w:rPr>
          <w:rFonts w:asciiTheme="minorHAnsi" w:hAnsiTheme="minorHAnsi"/>
          <w:sz w:val="22"/>
          <w:szCs w:val="22"/>
        </w:rPr>
        <w:t xml:space="preserve"> and </w:t>
      </w:r>
      <w:r w:rsidR="00E94689">
        <w:rPr>
          <w:rFonts w:asciiTheme="minorHAnsi" w:hAnsiTheme="minorHAnsi"/>
          <w:sz w:val="22"/>
          <w:szCs w:val="22"/>
        </w:rPr>
        <w:t>o</w:t>
      </w:r>
      <w:r w:rsidR="00E94689" w:rsidRPr="00FC6EFF">
        <w:rPr>
          <w:rFonts w:asciiTheme="minorHAnsi" w:hAnsiTheme="minorHAnsi"/>
          <w:sz w:val="22"/>
          <w:szCs w:val="22"/>
        </w:rPr>
        <w:t>nce the consultant has agreed to assist and has signed a confidentiality agreement, the IRB staff will send the necessary materials for review.</w:t>
      </w:r>
    </w:p>
    <w:p w:rsidR="00FC6EFF" w:rsidRPr="00FC6EFF" w:rsidRDefault="00FC6EFF" w:rsidP="00FC6EFF">
      <w:pPr>
        <w:pStyle w:val="Default"/>
        <w:ind w:left="720"/>
        <w:rPr>
          <w:rFonts w:asciiTheme="minorHAnsi" w:hAnsiTheme="minorHAnsi"/>
          <w:sz w:val="22"/>
          <w:szCs w:val="22"/>
        </w:rPr>
      </w:pPr>
    </w:p>
    <w:p w:rsidR="00D5522C" w:rsidRDefault="00FC6EFF" w:rsidP="00FC6EFF">
      <w:pPr>
        <w:pStyle w:val="ListParagraph"/>
        <w:numPr>
          <w:ilvl w:val="0"/>
          <w:numId w:val="1"/>
        </w:numPr>
        <w:rPr>
          <w:rFonts w:asciiTheme="minorHAnsi" w:hAnsiTheme="minorHAnsi"/>
          <w:sz w:val="22"/>
        </w:rPr>
      </w:pPr>
      <w:r w:rsidRPr="00FC6EFF">
        <w:rPr>
          <w:rFonts w:asciiTheme="minorHAnsi" w:hAnsiTheme="minorHAnsi"/>
          <w:sz w:val="22"/>
        </w:rPr>
        <w:t xml:space="preserve">Consultants may provide their comments in writing to the IRB or present their comments in person at the relevant meeting. </w:t>
      </w:r>
    </w:p>
    <w:p w:rsidR="00D5522C" w:rsidRPr="00D5522C" w:rsidRDefault="00D5522C" w:rsidP="00D5522C">
      <w:pPr>
        <w:pStyle w:val="ListParagraph"/>
        <w:rPr>
          <w:rFonts w:asciiTheme="minorHAnsi" w:hAnsiTheme="minorHAnsi"/>
          <w:sz w:val="22"/>
        </w:rPr>
      </w:pPr>
    </w:p>
    <w:p w:rsidR="00D5522C" w:rsidRDefault="00FC6EFF" w:rsidP="00FC6EFF">
      <w:pPr>
        <w:pStyle w:val="ListParagraph"/>
        <w:numPr>
          <w:ilvl w:val="0"/>
          <w:numId w:val="1"/>
        </w:numPr>
        <w:rPr>
          <w:rFonts w:asciiTheme="minorHAnsi" w:hAnsiTheme="minorHAnsi"/>
          <w:sz w:val="22"/>
        </w:rPr>
      </w:pPr>
      <w:r w:rsidRPr="00FC6EFF">
        <w:rPr>
          <w:rFonts w:asciiTheme="minorHAnsi" w:hAnsiTheme="minorHAnsi"/>
          <w:sz w:val="22"/>
        </w:rPr>
        <w:t>Consultants will be excluded from discussion except to provide information requested by the IRB</w:t>
      </w:r>
      <w:r w:rsidR="00D13B45">
        <w:rPr>
          <w:rFonts w:asciiTheme="minorHAnsi" w:hAnsiTheme="minorHAnsi"/>
          <w:sz w:val="22"/>
        </w:rPr>
        <w:t xml:space="preserve"> </w:t>
      </w:r>
      <w:r w:rsidR="00AF5E7C">
        <w:rPr>
          <w:rFonts w:asciiTheme="minorHAnsi" w:hAnsiTheme="minorHAnsi"/>
          <w:sz w:val="22"/>
        </w:rPr>
        <w:t xml:space="preserve">and </w:t>
      </w:r>
      <w:r w:rsidR="00AF5E7C" w:rsidRPr="00FC6EFF">
        <w:rPr>
          <w:rFonts w:asciiTheme="minorHAnsi" w:hAnsiTheme="minorHAnsi"/>
          <w:sz w:val="22"/>
        </w:rPr>
        <w:t>will</w:t>
      </w:r>
      <w:r w:rsidRPr="00FC6EFF">
        <w:rPr>
          <w:rFonts w:asciiTheme="minorHAnsi" w:hAnsiTheme="minorHAnsi"/>
          <w:sz w:val="22"/>
        </w:rPr>
        <w:t xml:space="preserve"> leave the meeting room for the discussion and may not vote with the IRB. </w:t>
      </w:r>
    </w:p>
    <w:p w:rsidR="00D5522C" w:rsidRPr="00D5522C" w:rsidRDefault="00D5522C" w:rsidP="00D5522C">
      <w:pPr>
        <w:pStyle w:val="ListParagraph"/>
        <w:rPr>
          <w:rFonts w:asciiTheme="minorHAnsi" w:hAnsiTheme="minorHAnsi"/>
          <w:sz w:val="22"/>
        </w:rPr>
      </w:pPr>
    </w:p>
    <w:p w:rsidR="004E2C18" w:rsidRPr="00FC6EFF" w:rsidRDefault="004E2C18" w:rsidP="004E2C18">
      <w:pPr>
        <w:autoSpaceDE w:val="0"/>
        <w:autoSpaceDN w:val="0"/>
        <w:adjustRightInd w:val="0"/>
        <w:spacing w:after="0"/>
        <w:rPr>
          <w:rFonts w:cs="Calibri"/>
        </w:rPr>
      </w:pPr>
    </w:p>
    <w:p w:rsidR="004E2C18" w:rsidRPr="00FC6EFF" w:rsidRDefault="004E2C18" w:rsidP="004E2C18">
      <w:pPr>
        <w:autoSpaceDE w:val="0"/>
        <w:autoSpaceDN w:val="0"/>
        <w:adjustRightInd w:val="0"/>
        <w:spacing w:after="0"/>
        <w:rPr>
          <w:rFonts w:cs="Calibri"/>
          <w:b/>
          <w:u w:val="single"/>
        </w:rPr>
      </w:pPr>
      <w:r w:rsidRPr="00FC6EFF">
        <w:rPr>
          <w:rFonts w:cs="Calibri"/>
          <w:b/>
          <w:u w:val="single"/>
        </w:rPr>
        <w:t>IRB Meeting Minutes</w:t>
      </w:r>
    </w:p>
    <w:p w:rsidR="004E2C18" w:rsidRDefault="004E2C18" w:rsidP="004E2C18">
      <w:pPr>
        <w:autoSpaceDE w:val="0"/>
        <w:autoSpaceDN w:val="0"/>
        <w:adjustRightInd w:val="0"/>
        <w:spacing w:after="0"/>
        <w:rPr>
          <w:rFonts w:cs="Calibri"/>
          <w:b/>
          <w:u w:val="single"/>
        </w:rPr>
      </w:pPr>
    </w:p>
    <w:p w:rsidR="00D5522C" w:rsidRDefault="00D5522C" w:rsidP="00D5522C">
      <w:pPr>
        <w:pStyle w:val="ListParagraph"/>
        <w:numPr>
          <w:ilvl w:val="0"/>
          <w:numId w:val="1"/>
        </w:numPr>
        <w:rPr>
          <w:rFonts w:asciiTheme="minorHAnsi" w:hAnsiTheme="minorHAnsi"/>
          <w:sz w:val="22"/>
        </w:rPr>
      </w:pPr>
      <w:r w:rsidRPr="00FC6EFF">
        <w:rPr>
          <w:rFonts w:asciiTheme="minorHAnsi" w:hAnsiTheme="minorHAnsi"/>
          <w:sz w:val="22"/>
        </w:rPr>
        <w:t xml:space="preserve">Consultants are not included in determining or establishing a quorum at the meetings. </w:t>
      </w:r>
    </w:p>
    <w:p w:rsidR="00D5522C" w:rsidRPr="00D5522C" w:rsidRDefault="00D5522C" w:rsidP="00D5522C">
      <w:pPr>
        <w:pStyle w:val="ListParagraph"/>
        <w:rPr>
          <w:rFonts w:asciiTheme="minorHAnsi" w:hAnsiTheme="minorHAnsi"/>
          <w:sz w:val="22"/>
        </w:rPr>
      </w:pPr>
    </w:p>
    <w:p w:rsidR="00D5522C" w:rsidRPr="00FC6EFF" w:rsidRDefault="00D5522C" w:rsidP="00D5522C">
      <w:pPr>
        <w:pStyle w:val="ListParagraph"/>
        <w:numPr>
          <w:ilvl w:val="0"/>
          <w:numId w:val="1"/>
        </w:numPr>
        <w:rPr>
          <w:rFonts w:asciiTheme="minorHAnsi" w:hAnsiTheme="minorHAnsi"/>
          <w:sz w:val="22"/>
        </w:rPr>
      </w:pPr>
      <w:r w:rsidRPr="00FC6EFF">
        <w:rPr>
          <w:rFonts w:asciiTheme="minorHAnsi" w:hAnsiTheme="minorHAnsi"/>
          <w:sz w:val="22"/>
        </w:rPr>
        <w:t>Review by a consultant is noted in the committee minutes.</w:t>
      </w:r>
    </w:p>
    <w:p w:rsidR="00D5522C" w:rsidRPr="00FC6EFF" w:rsidRDefault="00D5522C" w:rsidP="004E2C18">
      <w:pPr>
        <w:autoSpaceDE w:val="0"/>
        <w:autoSpaceDN w:val="0"/>
        <w:adjustRightInd w:val="0"/>
        <w:spacing w:after="0"/>
        <w:rPr>
          <w:rFonts w:cs="Calibri"/>
          <w:b/>
          <w:u w:val="single"/>
        </w:rPr>
      </w:pPr>
    </w:p>
    <w:p w:rsidR="004E2C18" w:rsidRDefault="004E2C18" w:rsidP="004E2C18">
      <w:pPr>
        <w:pStyle w:val="ListParagraph"/>
        <w:rPr>
          <w:rFonts w:asciiTheme="minorHAnsi" w:hAnsiTheme="minorHAnsi" w:cs="Calibri"/>
          <w:sz w:val="22"/>
          <w:szCs w:val="22"/>
        </w:rPr>
      </w:pPr>
    </w:p>
    <w:p w:rsidR="00BA536C" w:rsidRPr="00FC6EFF" w:rsidRDefault="00BA536C" w:rsidP="004E2C18">
      <w:pPr>
        <w:pStyle w:val="ListParagraph"/>
        <w:rPr>
          <w:rFonts w:asciiTheme="minorHAnsi" w:hAnsiTheme="minorHAnsi" w:cs="Calibri"/>
          <w:sz w:val="22"/>
          <w:szCs w:val="22"/>
        </w:rPr>
      </w:pPr>
    </w:p>
    <w:p w:rsidR="004E2C18" w:rsidRDefault="00D5522C" w:rsidP="004E2C18">
      <w:pPr>
        <w:autoSpaceDE w:val="0"/>
        <w:autoSpaceDN w:val="0"/>
        <w:adjustRightInd w:val="0"/>
        <w:spacing w:after="0"/>
      </w:pPr>
      <w:r>
        <w:rPr>
          <w:rFonts w:cs="Calibri"/>
          <w:b/>
          <w:i/>
          <w:color w:val="C00000"/>
          <w:u w:val="single"/>
        </w:rPr>
        <w:t xml:space="preserve">REMINDER:  </w:t>
      </w:r>
      <w:r w:rsidR="004E2C18" w:rsidRPr="00FC6EFF">
        <w:rPr>
          <w:rFonts w:cs="Calibri"/>
          <w:b/>
          <w:i/>
          <w:color w:val="C00000"/>
          <w:u w:val="single"/>
        </w:rPr>
        <w:t xml:space="preserve">The IRB </w:t>
      </w:r>
      <w:r>
        <w:rPr>
          <w:rFonts w:cs="Calibri"/>
          <w:b/>
          <w:i/>
          <w:color w:val="C00000"/>
          <w:u w:val="single"/>
        </w:rPr>
        <w:t>is still responsible for determining if the protocol meets the 111 Criteria for approval.  The consultant only provides the Board with additional information upon which to reach a determination</w:t>
      </w:r>
      <w:r w:rsidR="004E2C18" w:rsidRPr="00DB100B">
        <w:rPr>
          <w:rFonts w:ascii="Calibri" w:hAnsi="Calibri" w:cs="Calibri"/>
          <w:b/>
          <w:i/>
          <w:color w:val="C00000"/>
          <w:u w:val="single"/>
        </w:rPr>
        <w:t xml:space="preserve">. </w:t>
      </w:r>
    </w:p>
    <w:sectPr w:rsidR="004E2C18" w:rsidSect="00BA536C">
      <w:pgSz w:w="12240" w:h="15840"/>
      <w:pgMar w:top="54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591"/>
    <w:multiLevelType w:val="hybridMultilevel"/>
    <w:tmpl w:val="10807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00F8F"/>
    <w:multiLevelType w:val="hybridMultilevel"/>
    <w:tmpl w:val="34C02E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4298D"/>
    <w:multiLevelType w:val="hybridMultilevel"/>
    <w:tmpl w:val="701A3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01"/>
    <w:rsid w:val="003D2422"/>
    <w:rsid w:val="00463832"/>
    <w:rsid w:val="004E2C18"/>
    <w:rsid w:val="00750BDE"/>
    <w:rsid w:val="00851201"/>
    <w:rsid w:val="00AF5E7C"/>
    <w:rsid w:val="00BA536C"/>
    <w:rsid w:val="00D13B45"/>
    <w:rsid w:val="00D5522C"/>
    <w:rsid w:val="00E94689"/>
    <w:rsid w:val="00FC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4E2C1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C6EF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4E2C1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C6E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Coley, Charlotte H</dc:creator>
  <cp:lastModifiedBy>Coley, Charlotte H</cp:lastModifiedBy>
  <cp:revision>7</cp:revision>
  <cp:lastPrinted>2014-11-19T13:51:00Z</cp:lastPrinted>
  <dcterms:created xsi:type="dcterms:W3CDTF">2014-11-18T19:41:00Z</dcterms:created>
  <dcterms:modified xsi:type="dcterms:W3CDTF">2014-11-19T13:52:00Z</dcterms:modified>
</cp:coreProperties>
</file>