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7687" w14:textId="77777777" w:rsidR="00851201" w:rsidRPr="004D5E18" w:rsidRDefault="00851201" w:rsidP="00851201">
      <w:pPr>
        <w:pStyle w:val="Header"/>
        <w:pBdr>
          <w:top w:val="double" w:sz="12" w:space="1" w:color="548DD4" w:themeColor="text2" w:themeTint="99"/>
          <w:left w:val="double" w:sz="12" w:space="4" w:color="548DD4" w:themeColor="text2" w:themeTint="99"/>
          <w:bottom w:val="double" w:sz="12" w:space="1" w:color="548DD4" w:themeColor="text2" w:themeTint="99"/>
          <w:right w:val="double" w:sz="12" w:space="4" w:color="548DD4" w:themeColor="text2" w:themeTint="99"/>
        </w:pBdr>
        <w:rPr>
          <w:rFonts w:cstheme="minorHAnsi"/>
          <w:b/>
          <w:color w:val="0070C0"/>
          <w:sz w:val="48"/>
        </w:rPr>
      </w:pPr>
      <w:r w:rsidRPr="004D5E18">
        <w:rPr>
          <w:rFonts w:cstheme="minorHAnsi"/>
          <w:noProof/>
          <w:color w:val="0070C0"/>
        </w:rPr>
        <w:drawing>
          <wp:inline distT="0" distB="0" distL="0" distR="0" wp14:anchorId="56A84F5B" wp14:editId="11F93B37">
            <wp:extent cx="534010" cy="53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661" cy="527661"/>
                    </a:xfrm>
                    <a:prstGeom prst="rect">
                      <a:avLst/>
                    </a:prstGeom>
                  </pic:spPr>
                </pic:pic>
              </a:graphicData>
            </a:graphic>
          </wp:inline>
        </w:drawing>
      </w:r>
      <w:r w:rsidRPr="004D5E18">
        <w:rPr>
          <w:rFonts w:cstheme="minorHAnsi"/>
          <w:b/>
          <w:color w:val="548DD4" w:themeColor="text2" w:themeTint="99"/>
          <w:sz w:val="48"/>
        </w:rPr>
        <w:t xml:space="preserve">Human Research Ethics Training Tips </w:t>
      </w:r>
    </w:p>
    <w:p w14:paraId="0BD71E0B" w14:textId="4C63EE58" w:rsidR="00DA6860" w:rsidRPr="00F54D1E" w:rsidRDefault="005666E9" w:rsidP="003D0723">
      <w:pPr>
        <w:spacing w:after="0"/>
        <w:jc w:val="center"/>
        <w:rPr>
          <w:rFonts w:cstheme="minorHAnsi"/>
          <w:b/>
          <w:sz w:val="36"/>
          <w:szCs w:val="36"/>
          <w:u w:val="single"/>
        </w:rPr>
      </w:pPr>
      <w:r w:rsidRPr="00F54D1E">
        <w:rPr>
          <w:rFonts w:cstheme="minorHAnsi"/>
          <w:b/>
          <w:sz w:val="36"/>
          <w:szCs w:val="36"/>
          <w:u w:val="single"/>
        </w:rPr>
        <w:t>Documenting IRB Actions &amp; Discussions</w:t>
      </w:r>
    </w:p>
    <w:p w14:paraId="30BB70D3" w14:textId="4385EC30" w:rsidR="005666E9" w:rsidRPr="004D5E18" w:rsidRDefault="005666E9" w:rsidP="003D0723">
      <w:pPr>
        <w:spacing w:after="0"/>
        <w:jc w:val="center"/>
        <w:rPr>
          <w:rFonts w:cstheme="minorHAnsi"/>
          <w:b/>
          <w:sz w:val="36"/>
          <w:szCs w:val="36"/>
          <w:u w:val="single"/>
        </w:rPr>
      </w:pPr>
    </w:p>
    <w:p w14:paraId="03C2C269" w14:textId="604968F6" w:rsidR="009C27DB" w:rsidRPr="00904615" w:rsidRDefault="00904615" w:rsidP="00904615">
      <w:pPr>
        <w:pStyle w:val="ListParagraph"/>
        <w:numPr>
          <w:ilvl w:val="0"/>
          <w:numId w:val="27"/>
        </w:numPr>
        <w:ind w:left="0" w:firstLine="0"/>
        <w:rPr>
          <w:rFonts w:cstheme="minorHAnsi"/>
          <w:b/>
          <w:color w:val="0070C0"/>
          <w:sz w:val="32"/>
          <w:szCs w:val="32"/>
          <w:u w:val="single"/>
        </w:rPr>
      </w:pPr>
      <w:r>
        <w:rPr>
          <w:rFonts w:cstheme="minorHAnsi"/>
          <w:b/>
          <w:color w:val="0070C0"/>
          <w:sz w:val="32"/>
          <w:szCs w:val="32"/>
          <w:u w:val="single"/>
        </w:rPr>
        <w:t xml:space="preserve"> </w:t>
      </w:r>
      <w:r w:rsidR="009C27DB" w:rsidRPr="00904615">
        <w:rPr>
          <w:rFonts w:cstheme="minorHAnsi"/>
          <w:b/>
          <w:color w:val="0070C0"/>
          <w:sz w:val="32"/>
          <w:szCs w:val="32"/>
          <w:u w:val="single"/>
        </w:rPr>
        <w:t>Federal Regulations &amp; Guidance</w:t>
      </w:r>
    </w:p>
    <w:p w14:paraId="28FF195E" w14:textId="52B5D472" w:rsidR="00B30D94" w:rsidRPr="00B30D94" w:rsidRDefault="00B30D94" w:rsidP="00B30D94">
      <w:pPr>
        <w:spacing w:before="100" w:beforeAutospacing="1" w:after="100" w:afterAutospacing="1" w:line="240" w:lineRule="auto"/>
        <w:rPr>
          <w:rFonts w:eastAsia="Times New Roman" w:cstheme="minorHAnsi"/>
          <w:color w:val="FF0000"/>
          <w:sz w:val="28"/>
          <w:szCs w:val="28"/>
          <w:u w:val="single"/>
        </w:rPr>
      </w:pPr>
      <w:r w:rsidRPr="004D5E18">
        <w:rPr>
          <w:rFonts w:eastAsia="Times New Roman" w:cstheme="minorHAnsi"/>
          <w:b/>
          <w:bCs/>
          <w:color w:val="FF0000"/>
          <w:sz w:val="28"/>
          <w:szCs w:val="28"/>
          <w:u w:val="single"/>
        </w:rPr>
        <w:t xml:space="preserve">45 CFR </w:t>
      </w:r>
      <w:r w:rsidRPr="00B30D94">
        <w:rPr>
          <w:rFonts w:eastAsia="Times New Roman" w:cstheme="minorHAnsi"/>
          <w:b/>
          <w:bCs/>
          <w:color w:val="FF0000"/>
          <w:sz w:val="28"/>
          <w:szCs w:val="28"/>
          <w:u w:val="single"/>
        </w:rPr>
        <w:t>§46.115 IRB Records.</w:t>
      </w:r>
    </w:p>
    <w:p w14:paraId="5D7CE4EB" w14:textId="77777777" w:rsidR="00B30D94" w:rsidRPr="00B30D94" w:rsidRDefault="00B30D94" w:rsidP="00B30D94">
      <w:pPr>
        <w:spacing w:before="100" w:beforeAutospacing="1" w:after="100" w:afterAutospacing="1" w:line="240" w:lineRule="auto"/>
        <w:rPr>
          <w:rFonts w:eastAsia="Times New Roman" w:cstheme="minorHAnsi"/>
        </w:rPr>
      </w:pPr>
      <w:r w:rsidRPr="00B30D94">
        <w:rPr>
          <w:rFonts w:eastAsia="Times New Roman" w:cstheme="minorHAnsi"/>
        </w:rPr>
        <w:t xml:space="preserve">(a) </w:t>
      </w:r>
      <w:r w:rsidRPr="00B30D94">
        <w:rPr>
          <w:rFonts w:eastAsia="Times New Roman" w:cstheme="minorHAnsi"/>
          <w:b/>
          <w:bCs/>
          <w:i/>
          <w:iCs/>
          <w:sz w:val="24"/>
          <w:szCs w:val="24"/>
        </w:rPr>
        <w:t>An institution, or when appropriate an IRB, shall prepare and maintain adequate documentation of IRB activities</w:t>
      </w:r>
      <w:r w:rsidRPr="00B30D94">
        <w:rPr>
          <w:rFonts w:eastAsia="Times New Roman" w:cstheme="minorHAnsi"/>
        </w:rPr>
        <w:t>, including the following:</w:t>
      </w:r>
    </w:p>
    <w:p w14:paraId="45D5FF45" w14:textId="60442A8E" w:rsidR="005666E9" w:rsidRPr="004D5E18" w:rsidRDefault="00B30D94" w:rsidP="00B30D94">
      <w:pPr>
        <w:spacing w:after="0"/>
        <w:ind w:left="720"/>
        <w:rPr>
          <w:rFonts w:cstheme="minorHAnsi"/>
        </w:rPr>
      </w:pPr>
      <w:r w:rsidRPr="004D5E18">
        <w:rPr>
          <w:rFonts w:cstheme="minorHAnsi"/>
        </w:rPr>
        <w:t xml:space="preserve">(2) Minutes of IRB meetings which shall be in sufficient detail to show attendance at the meetings; </w:t>
      </w:r>
      <w:r w:rsidRPr="004D5E18">
        <w:rPr>
          <w:rFonts w:cstheme="minorHAnsi"/>
          <w:b/>
          <w:bCs/>
          <w:i/>
          <w:iCs/>
          <w:color w:val="FF0000"/>
        </w:rPr>
        <w:t>actions taken by the IRB;</w:t>
      </w:r>
      <w:r w:rsidRPr="004D5E18">
        <w:rPr>
          <w:rFonts w:cstheme="minorHAnsi"/>
          <w:color w:val="FF0000"/>
        </w:rPr>
        <w:t xml:space="preserve"> </w:t>
      </w:r>
      <w:r w:rsidRPr="004D5E18">
        <w:rPr>
          <w:rFonts w:cstheme="minorHAnsi"/>
        </w:rPr>
        <w:t>the vote on these actions including the number of members voting for, against, and abstaining</w:t>
      </w:r>
      <w:r w:rsidRPr="004D5E18">
        <w:rPr>
          <w:rFonts w:cstheme="minorHAnsi"/>
          <w:b/>
          <w:bCs/>
          <w:i/>
          <w:iCs/>
          <w:color w:val="FF0000"/>
        </w:rPr>
        <w:t>; the basis for requiring changes in or disapproving research</w:t>
      </w:r>
      <w:r w:rsidRPr="004D5E18">
        <w:rPr>
          <w:rFonts w:cstheme="minorHAnsi"/>
        </w:rPr>
        <w:t xml:space="preserve">; and a written summary of the discussion of </w:t>
      </w:r>
      <w:r w:rsidRPr="004D5E18">
        <w:rPr>
          <w:rStyle w:val="spelle"/>
          <w:rFonts w:cstheme="minorHAnsi"/>
        </w:rPr>
        <w:t>controverted</w:t>
      </w:r>
      <w:r w:rsidRPr="004D5E18">
        <w:rPr>
          <w:rFonts w:cstheme="minorHAnsi"/>
        </w:rPr>
        <w:t xml:space="preserve"> issues and their resolution.</w:t>
      </w:r>
    </w:p>
    <w:p w14:paraId="3221636D" w14:textId="45F01E45" w:rsidR="00B30D94" w:rsidRPr="004D5E18" w:rsidRDefault="00B30D94" w:rsidP="00B30D94">
      <w:pPr>
        <w:spacing w:after="0"/>
        <w:rPr>
          <w:rFonts w:cstheme="minorHAnsi"/>
        </w:rPr>
      </w:pPr>
    </w:p>
    <w:p w14:paraId="27C61675" w14:textId="52E66712" w:rsidR="00B30D94" w:rsidRPr="004D5E18" w:rsidRDefault="00B30D94" w:rsidP="00B30D94">
      <w:pPr>
        <w:spacing w:after="0"/>
        <w:rPr>
          <w:rFonts w:cstheme="minorHAnsi"/>
        </w:rPr>
      </w:pPr>
      <w:r w:rsidRPr="004D5E18">
        <w:rPr>
          <w:rFonts w:cstheme="minorHAnsi"/>
        </w:rPr>
        <w:t xml:space="preserve">(b) The records required by this policy shall </w:t>
      </w:r>
      <w:r w:rsidRPr="004D5E18">
        <w:rPr>
          <w:rFonts w:cstheme="minorHAnsi"/>
          <w:b/>
          <w:bCs/>
          <w:i/>
          <w:iCs/>
          <w:color w:val="FF0000"/>
        </w:rPr>
        <w:t>be retained for at least 3 years</w:t>
      </w:r>
      <w:r w:rsidRPr="004D5E18">
        <w:rPr>
          <w:rFonts w:cstheme="minorHAnsi"/>
        </w:rPr>
        <w:t xml:space="preserve">, and records relating to research that is conducted shall be retained for </w:t>
      </w:r>
      <w:r w:rsidRPr="004D5E18">
        <w:rPr>
          <w:rFonts w:cstheme="minorHAnsi"/>
          <w:b/>
          <w:bCs/>
          <w:i/>
          <w:iCs/>
          <w:color w:val="FF0000"/>
        </w:rPr>
        <w:t>at least 3 years after completion of the research</w:t>
      </w:r>
      <w:r w:rsidRPr="004D5E18">
        <w:rPr>
          <w:rFonts w:cstheme="minorHAnsi"/>
        </w:rPr>
        <w:t>. The institution or IRB may maintain the records in printed form, or electronically</w:t>
      </w:r>
      <w:r w:rsidRPr="004D5E18">
        <w:rPr>
          <w:rFonts w:cstheme="minorHAnsi"/>
          <w:b/>
          <w:bCs/>
          <w:i/>
          <w:iCs/>
          <w:color w:val="FF0000"/>
        </w:rPr>
        <w:t>. All records shall be accessible for inspection and copying</w:t>
      </w:r>
      <w:r w:rsidRPr="004D5E18">
        <w:rPr>
          <w:rFonts w:cstheme="minorHAnsi"/>
          <w:color w:val="FF0000"/>
        </w:rPr>
        <w:t xml:space="preserve"> </w:t>
      </w:r>
      <w:r w:rsidRPr="004D5E18">
        <w:rPr>
          <w:rFonts w:cstheme="minorHAnsi"/>
        </w:rPr>
        <w:t>by authorized representatives of the Federal department or agency at reasonable times and in a reasonable manner.</w:t>
      </w:r>
      <w:r w:rsidRPr="004D5E18">
        <w:rPr>
          <w:rFonts w:cstheme="minorHAnsi"/>
        </w:rPr>
        <w:tab/>
      </w:r>
      <w:r w:rsidRPr="004D5E18">
        <w:rPr>
          <w:rFonts w:cstheme="minorHAnsi"/>
        </w:rPr>
        <w:t>(Approved by the Office of Management and Budget under Control Number 0990-0260.)</w:t>
      </w:r>
    </w:p>
    <w:p w14:paraId="6A57F0D6" w14:textId="734BC8E6" w:rsidR="00B4401E" w:rsidRPr="00B4401E" w:rsidRDefault="00B4401E" w:rsidP="00B4401E">
      <w:pPr>
        <w:spacing w:before="100" w:beforeAutospacing="1" w:after="100" w:afterAutospacing="1" w:line="240" w:lineRule="auto"/>
        <w:rPr>
          <w:rFonts w:eastAsia="Times New Roman" w:cstheme="minorHAnsi"/>
          <w:color w:val="FF0000"/>
          <w:sz w:val="24"/>
          <w:szCs w:val="24"/>
          <w:u w:val="single"/>
        </w:rPr>
      </w:pPr>
      <w:r w:rsidRPr="00B4401E">
        <w:rPr>
          <w:rFonts w:eastAsia="Times New Roman" w:cstheme="minorHAnsi"/>
          <w:b/>
          <w:bCs/>
          <w:color w:val="FF0000"/>
          <w:sz w:val="24"/>
          <w:szCs w:val="24"/>
          <w:u w:val="single"/>
        </w:rPr>
        <w:t>Minutes of Institutional Review Board (IRB) Meetings</w:t>
      </w:r>
      <w:r w:rsidRPr="004D5E18">
        <w:rPr>
          <w:rFonts w:eastAsia="Times New Roman" w:cstheme="minorHAnsi"/>
          <w:b/>
          <w:bCs/>
          <w:color w:val="FF0000"/>
          <w:sz w:val="24"/>
          <w:szCs w:val="24"/>
          <w:u w:val="single"/>
        </w:rPr>
        <w:t>--</w:t>
      </w:r>
      <w:r w:rsidRPr="00B4401E">
        <w:rPr>
          <w:rFonts w:eastAsia="Times New Roman" w:cstheme="minorHAnsi"/>
          <w:b/>
          <w:bCs/>
          <w:color w:val="FF0000"/>
          <w:sz w:val="24"/>
          <w:szCs w:val="24"/>
          <w:u w:val="single"/>
        </w:rPr>
        <w:t>Guidance for Institutions and IRBs</w:t>
      </w:r>
    </w:p>
    <w:p w14:paraId="4C9C78A6" w14:textId="77777777" w:rsidR="00B4401E" w:rsidRPr="004D5E18" w:rsidRDefault="00B4401E" w:rsidP="00B4401E">
      <w:pPr>
        <w:pStyle w:val="NormalWeb"/>
        <w:rPr>
          <w:rFonts w:asciiTheme="minorHAnsi" w:hAnsiTheme="minorHAnsi" w:cstheme="minorHAnsi"/>
          <w:sz w:val="22"/>
          <w:szCs w:val="22"/>
        </w:rPr>
      </w:pPr>
      <w:r w:rsidRPr="004D5E18">
        <w:rPr>
          <w:rFonts w:asciiTheme="minorHAnsi" w:hAnsiTheme="minorHAnsi" w:cstheme="minorHAnsi"/>
          <w:sz w:val="22"/>
          <w:szCs w:val="22"/>
        </w:rPr>
        <w:t xml:space="preserve">IRBs have been cited in </w:t>
      </w:r>
      <w:r w:rsidRPr="004D5E18">
        <w:rPr>
          <w:rFonts w:asciiTheme="minorHAnsi" w:hAnsiTheme="minorHAnsi" w:cstheme="minorHAnsi"/>
          <w:i/>
          <w:iCs/>
          <w:color w:val="FF0000"/>
          <w:sz w:val="22"/>
          <w:szCs w:val="22"/>
        </w:rPr>
        <w:t>OHRP Determination Letters</w:t>
      </w:r>
      <w:hyperlink r:id="rId8" w:anchor="_ftn1" w:history="1">
        <w:r w:rsidRPr="004D5E18">
          <w:rPr>
            <w:rStyle w:val="Hyperlink"/>
            <w:rFonts w:asciiTheme="minorHAnsi" w:hAnsiTheme="minorHAnsi" w:cstheme="minorHAnsi"/>
            <w:i/>
            <w:iCs/>
            <w:color w:val="FF0000"/>
            <w:sz w:val="22"/>
            <w:szCs w:val="22"/>
            <w:shd w:val="clear" w:color="auto" w:fill="FFFFFF"/>
          </w:rPr>
          <w:t>[1]</w:t>
        </w:r>
      </w:hyperlink>
      <w:r w:rsidRPr="004D5E18">
        <w:rPr>
          <w:rFonts w:asciiTheme="minorHAnsi" w:hAnsiTheme="minorHAnsi" w:cstheme="minorHAnsi"/>
          <w:i/>
          <w:iCs/>
          <w:color w:val="FF0000"/>
          <w:sz w:val="22"/>
          <w:szCs w:val="22"/>
        </w:rPr>
        <w:t xml:space="preserve"> and FDA Warning Letters</w:t>
      </w:r>
      <w:hyperlink r:id="rId9" w:anchor="_ftn2" w:history="1">
        <w:r w:rsidRPr="004D5E18">
          <w:rPr>
            <w:rStyle w:val="Hyperlink"/>
            <w:rFonts w:asciiTheme="minorHAnsi" w:hAnsiTheme="minorHAnsi" w:cstheme="minorHAnsi"/>
            <w:i/>
            <w:iCs/>
            <w:color w:val="FF0000"/>
            <w:sz w:val="22"/>
            <w:szCs w:val="22"/>
            <w:shd w:val="clear" w:color="auto" w:fill="FFFFFF"/>
          </w:rPr>
          <w:t>[2]</w:t>
        </w:r>
      </w:hyperlink>
      <w:r w:rsidRPr="004D5E18">
        <w:rPr>
          <w:rFonts w:asciiTheme="minorHAnsi" w:hAnsiTheme="minorHAnsi" w:cstheme="minorHAnsi"/>
          <w:sz w:val="22"/>
          <w:szCs w:val="22"/>
        </w:rPr>
        <w:t xml:space="preserve"> for failing to prepare and maintain adequate minutes.  For this reason, OHRP and FDA believe providing recommendations on the type and amount of information to include in minutes will help IRBs meet the regulatory requirements for minutes.</w:t>
      </w:r>
    </w:p>
    <w:p w14:paraId="75CD0174" w14:textId="77777777" w:rsidR="00B4401E" w:rsidRPr="00B4401E" w:rsidRDefault="00B4401E" w:rsidP="00B4401E">
      <w:pPr>
        <w:spacing w:before="100" w:beforeAutospacing="1" w:after="100" w:afterAutospacing="1" w:line="240" w:lineRule="auto"/>
        <w:rPr>
          <w:rFonts w:eastAsia="Times New Roman" w:cstheme="minorHAnsi"/>
        </w:rPr>
      </w:pPr>
      <w:r w:rsidRPr="00B4401E">
        <w:rPr>
          <w:rFonts w:eastAsia="Times New Roman" w:cstheme="minorHAnsi"/>
        </w:rPr>
        <w:t>Examples of noncompliance related to minutes include:</w:t>
      </w:r>
    </w:p>
    <w:p w14:paraId="1DF5AA31" w14:textId="77777777" w:rsidR="00B4401E" w:rsidRPr="00B4401E" w:rsidRDefault="00B4401E" w:rsidP="00B4401E">
      <w:pPr>
        <w:numPr>
          <w:ilvl w:val="0"/>
          <w:numId w:val="20"/>
        </w:numPr>
        <w:spacing w:after="0"/>
        <w:rPr>
          <w:rFonts w:eastAsia="Times New Roman" w:cstheme="minorHAnsi"/>
        </w:rPr>
      </w:pPr>
      <w:r w:rsidRPr="00B4401E">
        <w:rPr>
          <w:rFonts w:eastAsia="Times New Roman" w:cstheme="minorHAnsi"/>
        </w:rPr>
        <w:t>Minutes do not clearly indicate, or contain discrepancies about, what the IRB approved.</w:t>
      </w:r>
    </w:p>
    <w:p w14:paraId="748EE327" w14:textId="77777777" w:rsidR="00B4401E" w:rsidRPr="00B4401E" w:rsidRDefault="00B4401E" w:rsidP="00B4401E">
      <w:pPr>
        <w:numPr>
          <w:ilvl w:val="0"/>
          <w:numId w:val="21"/>
        </w:numPr>
        <w:spacing w:after="0"/>
        <w:rPr>
          <w:rFonts w:eastAsia="Times New Roman" w:cstheme="minorHAnsi"/>
        </w:rPr>
      </w:pPr>
      <w:r w:rsidRPr="00B4401E">
        <w:rPr>
          <w:rFonts w:eastAsia="Times New Roman" w:cstheme="minorHAnsi"/>
        </w:rPr>
        <w:t>Minutes fail to include a summary of the discussion of controverted issues.</w:t>
      </w:r>
    </w:p>
    <w:p w14:paraId="28AD48B4" w14:textId="77777777" w:rsidR="00B4401E" w:rsidRPr="00B4401E" w:rsidRDefault="00B4401E" w:rsidP="00B4401E">
      <w:pPr>
        <w:spacing w:before="100" w:beforeAutospacing="1" w:after="100" w:afterAutospacing="1" w:line="240" w:lineRule="auto"/>
        <w:rPr>
          <w:rFonts w:eastAsia="Times New Roman" w:cstheme="minorHAnsi"/>
          <w:i/>
          <w:iCs/>
          <w:color w:val="FF0000"/>
        </w:rPr>
      </w:pPr>
      <w:r w:rsidRPr="00B4401E">
        <w:rPr>
          <w:rFonts w:eastAsia="Times New Roman" w:cstheme="minorHAnsi"/>
        </w:rPr>
        <w:t xml:space="preserve">Minutes are intended to provide a summary of </w:t>
      </w:r>
      <w:r w:rsidRPr="00B4401E">
        <w:rPr>
          <w:rFonts w:eastAsia="Times New Roman" w:cstheme="minorHAnsi"/>
          <w:b/>
          <w:bCs/>
          <w:i/>
          <w:iCs/>
          <w:color w:val="FF0000"/>
          <w:sz w:val="24"/>
          <w:szCs w:val="24"/>
        </w:rPr>
        <w:t>what occurred during a convened meeting and provide</w:t>
      </w:r>
      <w:r w:rsidRPr="00B4401E">
        <w:rPr>
          <w:rFonts w:eastAsia="Times New Roman" w:cstheme="minorHAnsi"/>
          <w:i/>
          <w:iCs/>
          <w:color w:val="FF0000"/>
          <w:sz w:val="24"/>
          <w:szCs w:val="24"/>
        </w:rPr>
        <w:t xml:space="preserve"> </w:t>
      </w:r>
      <w:r w:rsidRPr="00B4401E">
        <w:rPr>
          <w:rFonts w:eastAsia="Times New Roman" w:cstheme="minorHAnsi"/>
          <w:b/>
          <w:bCs/>
          <w:i/>
          <w:iCs/>
          <w:color w:val="FF0000"/>
          <w:sz w:val="24"/>
          <w:szCs w:val="24"/>
        </w:rPr>
        <w:t>information to persons not present at the meeting</w:t>
      </w:r>
      <w:r w:rsidRPr="00B4401E">
        <w:rPr>
          <w:rFonts w:eastAsia="Times New Roman" w:cstheme="minorHAnsi"/>
          <w:i/>
          <w:iCs/>
          <w:color w:val="FF0000"/>
          <w:sz w:val="24"/>
          <w:szCs w:val="24"/>
        </w:rPr>
        <w:t xml:space="preserve"> </w:t>
      </w:r>
      <w:r w:rsidRPr="00B4401E">
        <w:rPr>
          <w:rFonts w:eastAsia="Times New Roman" w:cstheme="minorHAnsi"/>
          <w:i/>
          <w:iCs/>
        </w:rPr>
        <w:t>(e.g., investigators, institutional officials, regulators, IRB members who could not attend) about what the IRB reviewed and the actions taken by the IRB.</w:t>
      </w:r>
    </w:p>
    <w:p w14:paraId="1ACAECD9" w14:textId="77777777" w:rsidR="00B4401E" w:rsidRPr="00B4401E" w:rsidRDefault="00B4401E" w:rsidP="00B4401E">
      <w:pPr>
        <w:spacing w:before="100" w:beforeAutospacing="1" w:after="100" w:afterAutospacing="1" w:line="240" w:lineRule="auto"/>
        <w:rPr>
          <w:rFonts w:eastAsia="Times New Roman" w:cstheme="minorHAnsi"/>
          <w:b/>
          <w:bCs/>
          <w:i/>
          <w:iCs/>
        </w:rPr>
      </w:pPr>
      <w:r w:rsidRPr="00B4401E">
        <w:rPr>
          <w:rFonts w:eastAsia="Times New Roman" w:cstheme="minorHAnsi"/>
        </w:rPr>
        <w:t xml:space="preserve">When reviewing proposed research, the IRB must document the information required by 45 CFR 46.115(a)(2) and 21 CFR 56.115(a)(2) in the minutes.  However, </w:t>
      </w:r>
      <w:r w:rsidRPr="00B4401E">
        <w:rPr>
          <w:rFonts w:eastAsia="Times New Roman" w:cstheme="minorHAnsi"/>
          <w:b/>
          <w:bCs/>
          <w:i/>
          <w:iCs/>
          <w:color w:val="FF0000"/>
        </w:rPr>
        <w:t>there are other findings and determinations the IRB must make to fulfill other regulatory requirements</w:t>
      </w:r>
      <w:r w:rsidRPr="00B4401E">
        <w:rPr>
          <w:rFonts w:eastAsia="Times New Roman" w:cstheme="minorHAnsi"/>
          <w:color w:val="FF0000"/>
        </w:rPr>
        <w:t xml:space="preserve"> </w:t>
      </w:r>
      <w:r w:rsidRPr="00B4401E">
        <w:rPr>
          <w:rFonts w:eastAsia="Times New Roman" w:cstheme="minorHAnsi"/>
        </w:rPr>
        <w:t xml:space="preserve">(e.g., the IRB must review research involving children as subjects that is covered by 45 CFR part 46, subpart D and/or 21 CFR part 50, subpart D, and approve such research only if it satisfies the conditions of all applicable sections of those subparts).  </w:t>
      </w:r>
      <w:r w:rsidRPr="00B4401E">
        <w:rPr>
          <w:rFonts w:eastAsia="Times New Roman" w:cstheme="minorHAnsi"/>
          <w:b/>
          <w:bCs/>
          <w:i/>
          <w:iCs/>
        </w:rPr>
        <w:t xml:space="preserve">While we recommend that IRBs document these additional findings and determinations in the minutes, these can be documented elsewhere in the IRB records to avoid redundancy (e.g., </w:t>
      </w:r>
      <w:r w:rsidRPr="00B4401E">
        <w:rPr>
          <w:rFonts w:eastAsia="Times New Roman" w:cstheme="minorHAnsi"/>
          <w:b/>
          <w:bCs/>
          <w:i/>
          <w:iCs/>
          <w:color w:val="FF0000"/>
          <w:sz w:val="24"/>
          <w:szCs w:val="24"/>
        </w:rPr>
        <w:t xml:space="preserve">IRB reviewer form/checklist, database entries, other forms of physical or electronic </w:t>
      </w:r>
      <w:r w:rsidRPr="00B4401E">
        <w:rPr>
          <w:rFonts w:eastAsia="Times New Roman" w:cstheme="minorHAnsi"/>
          <w:b/>
          <w:bCs/>
          <w:i/>
          <w:iCs/>
          <w:color w:val="FF0000"/>
          <w:sz w:val="24"/>
          <w:szCs w:val="24"/>
        </w:rPr>
        <w:lastRenderedPageBreak/>
        <w:t>records</w:t>
      </w:r>
      <w:r w:rsidRPr="00B4401E">
        <w:rPr>
          <w:rFonts w:eastAsia="Times New Roman" w:cstheme="minorHAnsi"/>
          <w:b/>
          <w:bCs/>
          <w:i/>
          <w:iCs/>
        </w:rPr>
        <w:t>).</w:t>
      </w:r>
      <w:r w:rsidRPr="00B4401E">
        <w:rPr>
          <w:rFonts w:eastAsia="Times New Roman" w:cstheme="minorHAnsi"/>
        </w:rPr>
        <w:t xml:space="preserve">  Documentation should include </w:t>
      </w:r>
      <w:r w:rsidRPr="00B4401E">
        <w:rPr>
          <w:rFonts w:eastAsia="Times New Roman" w:cstheme="minorHAnsi"/>
          <w:b/>
          <w:bCs/>
          <w:i/>
          <w:iCs/>
        </w:rPr>
        <w:t>relevant summary information when such information contributes to an understanding of the IRB’s findings and determinations (e.g., a brief rationale for the IRB’s pediatric risk determination).</w:t>
      </w:r>
    </w:p>
    <w:p w14:paraId="75ECF0EF" w14:textId="6D89F001" w:rsidR="00B4401E" w:rsidRPr="004D5E18" w:rsidRDefault="00B4401E" w:rsidP="00B4401E">
      <w:pPr>
        <w:spacing w:before="100" w:beforeAutospacing="1" w:after="100" w:afterAutospacing="1" w:line="240" w:lineRule="auto"/>
        <w:rPr>
          <w:rFonts w:eastAsia="Times New Roman" w:cstheme="minorHAnsi"/>
        </w:rPr>
      </w:pPr>
      <w:r w:rsidRPr="00B4401E">
        <w:rPr>
          <w:rFonts w:eastAsia="Times New Roman" w:cstheme="minorHAnsi"/>
        </w:rPr>
        <w:t>The regulations for meeting minutes at 45 CFR 46.115(a)(2) and 21 CFR 56.115(a)(2) provide institutions and IRBs with flexibility in choosing how to prepare minutes.  Institutions and IRBs should adopt written procedures for preparation and maintenance of minutes that best suit their particular organization and allow the IRB to efficiently accomplish its tasks.</w:t>
      </w:r>
      <w:r w:rsidRPr="004D5E18">
        <w:rPr>
          <w:rFonts w:eastAsia="Times New Roman" w:cstheme="minorHAnsi"/>
        </w:rPr>
        <w:t xml:space="preserve">  </w:t>
      </w:r>
      <w:hyperlink r:id="rId10" w:history="1">
        <w:r w:rsidRPr="004D5E18">
          <w:rPr>
            <w:rStyle w:val="Hyperlink"/>
            <w:rFonts w:eastAsia="Times New Roman" w:cstheme="minorHAnsi"/>
          </w:rPr>
          <w:t>https://www.hhs.gov/ohrp/minutes-institutional-review-board-irb-meetings-guidance-institutions-and-irbs.html-0#_Toc491772342</w:t>
        </w:r>
      </w:hyperlink>
    </w:p>
    <w:p w14:paraId="0EF390CB" w14:textId="520C659F" w:rsidR="00A37DF2" w:rsidRDefault="00904615" w:rsidP="007A0A9B">
      <w:pPr>
        <w:pStyle w:val="ListParagraph"/>
        <w:numPr>
          <w:ilvl w:val="0"/>
          <w:numId w:val="27"/>
        </w:numPr>
        <w:tabs>
          <w:tab w:val="left" w:pos="630"/>
        </w:tabs>
        <w:ind w:left="630" w:hanging="630"/>
        <w:outlineLvl w:val="2"/>
        <w:rPr>
          <w:rFonts w:cstheme="minorHAnsi"/>
          <w:b/>
          <w:bCs/>
          <w:color w:val="0070C0"/>
          <w:sz w:val="28"/>
          <w:szCs w:val="28"/>
          <w:u w:val="single"/>
        </w:rPr>
      </w:pPr>
      <w:r>
        <w:rPr>
          <w:rFonts w:cstheme="minorHAnsi"/>
          <w:b/>
          <w:bCs/>
          <w:color w:val="0070C0"/>
          <w:sz w:val="28"/>
          <w:szCs w:val="28"/>
          <w:u w:val="single"/>
        </w:rPr>
        <w:t xml:space="preserve"> </w:t>
      </w:r>
      <w:r w:rsidR="009C27DB" w:rsidRPr="00904615">
        <w:rPr>
          <w:rFonts w:cstheme="minorHAnsi"/>
          <w:b/>
          <w:bCs/>
          <w:color w:val="0070C0"/>
          <w:sz w:val="28"/>
          <w:szCs w:val="28"/>
          <w:u w:val="single"/>
        </w:rPr>
        <w:t xml:space="preserve">AAHRPP Tip Sheet:  </w:t>
      </w:r>
    </w:p>
    <w:p w14:paraId="40A357C8" w14:textId="77777777" w:rsidR="00A37DF2" w:rsidRPr="00A37DF2" w:rsidRDefault="00A37DF2" w:rsidP="00A37DF2">
      <w:pPr>
        <w:pStyle w:val="ListParagraph"/>
        <w:tabs>
          <w:tab w:val="left" w:pos="630"/>
        </w:tabs>
        <w:ind w:left="630"/>
        <w:outlineLvl w:val="2"/>
        <w:rPr>
          <w:rFonts w:cstheme="minorHAnsi"/>
          <w:b/>
          <w:bCs/>
          <w:color w:val="0070C0"/>
          <w:sz w:val="28"/>
          <w:szCs w:val="28"/>
          <w:u w:val="single"/>
        </w:rPr>
      </w:pPr>
    </w:p>
    <w:p w14:paraId="12BC2E1E" w14:textId="0CF0DA4E" w:rsidR="009C27DB" w:rsidRPr="004D5E18" w:rsidRDefault="009C27DB" w:rsidP="007A0A9B">
      <w:pPr>
        <w:spacing w:after="0"/>
        <w:outlineLvl w:val="2"/>
        <w:rPr>
          <w:rFonts w:eastAsia="Times New Roman" w:cstheme="minorHAnsi"/>
          <w:b/>
          <w:bCs/>
          <w:sz w:val="24"/>
          <w:szCs w:val="24"/>
        </w:rPr>
      </w:pPr>
      <w:r w:rsidRPr="004D5E18">
        <w:rPr>
          <w:rFonts w:eastAsia="Times New Roman" w:cstheme="minorHAnsi"/>
          <w:b/>
          <w:bCs/>
          <w:sz w:val="24"/>
          <w:szCs w:val="24"/>
        </w:rPr>
        <w:t>Documenting Discussions and Decisions on Research Studies and Activities</w:t>
      </w:r>
    </w:p>
    <w:p w14:paraId="15039C1B" w14:textId="77777777" w:rsidR="007A0A9B" w:rsidRPr="004D5E18" w:rsidRDefault="007A0A9B" w:rsidP="007A0A9B">
      <w:pPr>
        <w:spacing w:after="0" w:line="240" w:lineRule="auto"/>
        <w:outlineLvl w:val="2"/>
        <w:rPr>
          <w:rFonts w:eastAsia="Times New Roman" w:cstheme="minorHAnsi"/>
          <w:b/>
          <w:bCs/>
        </w:rPr>
      </w:pPr>
    </w:p>
    <w:p w14:paraId="57A4FFCF" w14:textId="076033A5" w:rsidR="00A15E15" w:rsidRPr="004D5E18" w:rsidRDefault="00A15E15" w:rsidP="007A0A9B">
      <w:pPr>
        <w:pStyle w:val="ListParagraph"/>
        <w:numPr>
          <w:ilvl w:val="0"/>
          <w:numId w:val="25"/>
        </w:numPr>
        <w:rPr>
          <w:rFonts w:asciiTheme="minorHAnsi" w:hAnsiTheme="minorHAnsi" w:cstheme="minorHAnsi"/>
          <w:sz w:val="22"/>
          <w:szCs w:val="22"/>
        </w:rPr>
      </w:pPr>
      <w:r w:rsidRPr="004D5E18">
        <w:rPr>
          <w:rFonts w:asciiTheme="minorHAnsi" w:hAnsiTheme="minorHAnsi" w:cstheme="minorHAnsi"/>
          <w:b/>
          <w:bCs/>
          <w:sz w:val="22"/>
          <w:szCs w:val="22"/>
        </w:rPr>
        <w:t xml:space="preserve">IRB or EC minutes should document: </w:t>
      </w:r>
    </w:p>
    <w:p w14:paraId="6FF6991D" w14:textId="77777777" w:rsidR="00A15E15" w:rsidRPr="004D5E18" w:rsidRDefault="00A15E15" w:rsidP="00A15E15">
      <w:pPr>
        <w:numPr>
          <w:ilvl w:val="0"/>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Actions taken by the IRB or EC. </w:t>
      </w:r>
    </w:p>
    <w:p w14:paraId="625CE378" w14:textId="77777777" w:rsidR="00A15E15" w:rsidRPr="004D5E18" w:rsidRDefault="00A15E15" w:rsidP="00A15E15">
      <w:pPr>
        <w:numPr>
          <w:ilvl w:val="0"/>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Separate deliberations for each action. </w:t>
      </w:r>
    </w:p>
    <w:p w14:paraId="1A7ECFDB" w14:textId="77777777" w:rsidR="00A15E15" w:rsidRPr="004D5E18" w:rsidRDefault="00A15E15" w:rsidP="00A15E15">
      <w:pPr>
        <w:numPr>
          <w:ilvl w:val="0"/>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The basis for requiring changes in research. </w:t>
      </w:r>
    </w:p>
    <w:p w14:paraId="0DF8B989" w14:textId="77777777" w:rsidR="00A15E15" w:rsidRPr="004D5E18" w:rsidRDefault="00A15E15" w:rsidP="00A15E15">
      <w:pPr>
        <w:numPr>
          <w:ilvl w:val="0"/>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The basis for disapproving research. </w:t>
      </w:r>
    </w:p>
    <w:p w14:paraId="19F2805C" w14:textId="77777777" w:rsidR="00A15E15" w:rsidRPr="004D5E18" w:rsidRDefault="00A15E15" w:rsidP="00A15E15">
      <w:pPr>
        <w:numPr>
          <w:ilvl w:val="0"/>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A written summary of the discussion of controverted issues and their resolution. </w:t>
      </w:r>
    </w:p>
    <w:p w14:paraId="49311FD5" w14:textId="77777777" w:rsidR="00A15E15" w:rsidRPr="004D5E18" w:rsidRDefault="00A15E15" w:rsidP="00A15E15">
      <w:pPr>
        <w:numPr>
          <w:ilvl w:val="0"/>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For initial and continuing review, the approval period. </w:t>
      </w:r>
    </w:p>
    <w:p w14:paraId="7C9F006C" w14:textId="77777777" w:rsidR="00A15E15" w:rsidRPr="004D5E18" w:rsidRDefault="00A15E15" w:rsidP="00A15E15">
      <w:pPr>
        <w:numPr>
          <w:ilvl w:val="0"/>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Required determinations and protocol-specific findings justifying those determinations for: </w:t>
      </w:r>
    </w:p>
    <w:p w14:paraId="7AE02B76" w14:textId="77777777" w:rsidR="00A15E15" w:rsidRPr="004D5E18" w:rsidRDefault="00A15E15" w:rsidP="00A15E15">
      <w:pPr>
        <w:numPr>
          <w:ilvl w:val="1"/>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Waiver or alteration of the consent process. </w:t>
      </w:r>
    </w:p>
    <w:p w14:paraId="04F0545E" w14:textId="77777777" w:rsidR="00A15E15" w:rsidRPr="004D5E18" w:rsidRDefault="00A15E15" w:rsidP="00A15E15">
      <w:pPr>
        <w:numPr>
          <w:ilvl w:val="1"/>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Research involving pregnant women, fetuses, and neonates. </w:t>
      </w:r>
    </w:p>
    <w:p w14:paraId="12E14F6D" w14:textId="77777777" w:rsidR="00A15E15" w:rsidRPr="004D5E18" w:rsidRDefault="00A15E15" w:rsidP="00A15E15">
      <w:pPr>
        <w:numPr>
          <w:ilvl w:val="1"/>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Research involving prisoners. </w:t>
      </w:r>
    </w:p>
    <w:p w14:paraId="68B0C1B1" w14:textId="77777777" w:rsidR="00A15E15" w:rsidRPr="004D5E18" w:rsidRDefault="00A15E15" w:rsidP="00A15E15">
      <w:pPr>
        <w:numPr>
          <w:ilvl w:val="1"/>
          <w:numId w:val="23"/>
        </w:numPr>
        <w:spacing w:before="100" w:beforeAutospacing="1" w:after="100" w:afterAutospacing="1" w:line="240" w:lineRule="auto"/>
        <w:rPr>
          <w:rFonts w:eastAsia="Times New Roman" w:cstheme="minorHAnsi"/>
        </w:rPr>
      </w:pPr>
      <w:r w:rsidRPr="004D5E18">
        <w:rPr>
          <w:rFonts w:eastAsia="Times New Roman" w:cstheme="minorHAnsi"/>
        </w:rPr>
        <w:t xml:space="preserve">Research involving children. </w:t>
      </w:r>
    </w:p>
    <w:p w14:paraId="11E78E9D" w14:textId="01E75528" w:rsidR="00A15E15" w:rsidRPr="004D5E18" w:rsidRDefault="00A15E15" w:rsidP="00A15E15">
      <w:pPr>
        <w:numPr>
          <w:ilvl w:val="1"/>
          <w:numId w:val="23"/>
        </w:numPr>
        <w:spacing w:before="100" w:beforeAutospacing="1" w:after="100" w:afterAutospacing="1" w:line="240" w:lineRule="auto"/>
        <w:rPr>
          <w:rFonts w:eastAsia="Times New Roman" w:cstheme="minorHAnsi"/>
        </w:rPr>
      </w:pPr>
      <w:r w:rsidRPr="004D5E18">
        <w:rPr>
          <w:rFonts w:eastAsia="Times New Roman" w:cstheme="minorHAnsi"/>
        </w:rPr>
        <w:t>The rationale for determining that risk associated with using a medical device in a study is significant or non-significant (referred to as significant risk/non-significant risk device determinations)</w:t>
      </w:r>
    </w:p>
    <w:p w14:paraId="50C9CDCD" w14:textId="1E77291E" w:rsidR="007F76C4" w:rsidRPr="00A37DF2" w:rsidRDefault="00A37DF2" w:rsidP="00A37DF2">
      <w:pPr>
        <w:pStyle w:val="ListParagraph"/>
        <w:numPr>
          <w:ilvl w:val="0"/>
          <w:numId w:val="27"/>
        </w:numPr>
        <w:ind w:left="360"/>
        <w:rPr>
          <w:rFonts w:cstheme="minorHAnsi"/>
          <w:b/>
          <w:color w:val="FF0000"/>
          <w:sz w:val="28"/>
          <w:szCs w:val="28"/>
          <w:u w:val="single"/>
        </w:rPr>
      </w:pPr>
      <w:r>
        <w:rPr>
          <w:rFonts w:cstheme="minorHAnsi"/>
          <w:b/>
          <w:color w:val="0070C0"/>
          <w:sz w:val="28"/>
          <w:szCs w:val="28"/>
          <w:u w:val="single"/>
        </w:rPr>
        <w:t xml:space="preserve"> </w:t>
      </w:r>
      <w:r w:rsidR="007F76C4" w:rsidRPr="00A37DF2">
        <w:rPr>
          <w:rFonts w:cstheme="minorHAnsi"/>
          <w:b/>
          <w:color w:val="0070C0"/>
          <w:sz w:val="28"/>
          <w:szCs w:val="28"/>
          <w:u w:val="single"/>
        </w:rPr>
        <w:t>Summary &amp; Key Points:</w:t>
      </w:r>
    </w:p>
    <w:p w14:paraId="11B1A5B9" w14:textId="77777777" w:rsidR="007F76C4" w:rsidRPr="004D5E18" w:rsidRDefault="007F76C4" w:rsidP="00B30D94">
      <w:pPr>
        <w:spacing w:after="0"/>
        <w:rPr>
          <w:rFonts w:cstheme="minorHAnsi"/>
          <w:bCs/>
        </w:rPr>
      </w:pPr>
    </w:p>
    <w:p w14:paraId="22102CFD" w14:textId="257DD49F" w:rsidR="00B4401E" w:rsidRDefault="00E55BEF" w:rsidP="007F76C4">
      <w:pPr>
        <w:pStyle w:val="ListParagraph"/>
        <w:numPr>
          <w:ilvl w:val="0"/>
          <w:numId w:val="26"/>
        </w:numPr>
        <w:rPr>
          <w:rFonts w:asciiTheme="minorHAnsi" w:hAnsiTheme="minorHAnsi" w:cstheme="minorHAnsi"/>
          <w:bCs/>
        </w:rPr>
      </w:pPr>
      <w:r w:rsidRPr="004D5E18">
        <w:rPr>
          <w:rFonts w:asciiTheme="minorHAnsi" w:hAnsiTheme="minorHAnsi" w:cstheme="minorHAnsi"/>
          <w:bCs/>
        </w:rPr>
        <w:t>Regulator mantra:  If it’s not written,</w:t>
      </w:r>
      <w:r w:rsidR="007F76C4" w:rsidRPr="004D5E18">
        <w:rPr>
          <w:rFonts w:asciiTheme="minorHAnsi" w:hAnsiTheme="minorHAnsi" w:cstheme="minorHAnsi"/>
          <w:bCs/>
        </w:rPr>
        <w:t xml:space="preserve"> it didn’t happen.</w:t>
      </w:r>
    </w:p>
    <w:p w14:paraId="6752A0BD" w14:textId="77777777" w:rsidR="004D5E18" w:rsidRPr="004D5E18" w:rsidRDefault="004D5E18" w:rsidP="004D5E18">
      <w:pPr>
        <w:pStyle w:val="ListParagraph"/>
        <w:rPr>
          <w:rFonts w:asciiTheme="minorHAnsi" w:hAnsiTheme="minorHAnsi" w:cstheme="minorHAnsi"/>
          <w:bCs/>
        </w:rPr>
      </w:pPr>
    </w:p>
    <w:p w14:paraId="155072C7" w14:textId="1A7CF2CC" w:rsidR="007F76C4" w:rsidRPr="004D5E18" w:rsidRDefault="007F76C4" w:rsidP="007F76C4">
      <w:pPr>
        <w:pStyle w:val="ListParagraph"/>
        <w:numPr>
          <w:ilvl w:val="0"/>
          <w:numId w:val="26"/>
        </w:numPr>
        <w:rPr>
          <w:rFonts w:asciiTheme="minorHAnsi" w:hAnsiTheme="minorHAnsi" w:cstheme="minorHAnsi"/>
          <w:bCs/>
        </w:rPr>
      </w:pPr>
      <w:r w:rsidRPr="004D5E18">
        <w:rPr>
          <w:rFonts w:asciiTheme="minorHAnsi" w:hAnsiTheme="minorHAnsi" w:cstheme="minorHAnsi"/>
          <w:bCs/>
        </w:rPr>
        <w:t xml:space="preserve">Documentation </w:t>
      </w:r>
      <w:r w:rsidR="004D5E18" w:rsidRPr="004D5E18">
        <w:rPr>
          <w:rFonts w:asciiTheme="minorHAnsi" w:hAnsiTheme="minorHAnsi" w:cstheme="minorHAnsi"/>
          <w:bCs/>
        </w:rPr>
        <w:t>includes</w:t>
      </w:r>
      <w:r w:rsidR="004D5E18">
        <w:rPr>
          <w:rFonts w:asciiTheme="minorHAnsi" w:hAnsiTheme="minorHAnsi" w:cstheme="minorHAnsi"/>
          <w:bCs/>
        </w:rPr>
        <w:t xml:space="preserve">:    </w:t>
      </w:r>
      <w:r w:rsidR="004D5E18" w:rsidRPr="00A37DF2">
        <w:rPr>
          <w:rFonts w:asciiTheme="minorHAnsi" w:hAnsiTheme="minorHAnsi" w:cstheme="minorHAnsi"/>
          <w:b/>
          <w:i/>
          <w:iCs/>
          <w:color w:val="C00000"/>
          <w:sz w:val="28"/>
          <w:szCs w:val="28"/>
        </w:rPr>
        <w:t>Essential that we have these documents!</w:t>
      </w:r>
      <w:r w:rsidR="004D5E18" w:rsidRPr="00A37DF2">
        <w:rPr>
          <w:rFonts w:asciiTheme="minorHAnsi" w:hAnsiTheme="minorHAnsi" w:cstheme="minorHAnsi"/>
          <w:bCs/>
          <w:color w:val="C00000"/>
          <w:sz w:val="28"/>
          <w:szCs w:val="28"/>
        </w:rPr>
        <w:t xml:space="preserve"> </w:t>
      </w:r>
    </w:p>
    <w:p w14:paraId="10F843B2" w14:textId="7D448D4B" w:rsidR="007F76C4" w:rsidRPr="004D5E18" w:rsidRDefault="007F76C4" w:rsidP="007F76C4">
      <w:pPr>
        <w:pStyle w:val="ListParagraph"/>
        <w:numPr>
          <w:ilvl w:val="1"/>
          <w:numId w:val="26"/>
        </w:numPr>
        <w:rPr>
          <w:rFonts w:asciiTheme="minorHAnsi" w:hAnsiTheme="minorHAnsi" w:cstheme="minorHAnsi"/>
          <w:bCs/>
        </w:rPr>
      </w:pPr>
      <w:r w:rsidRPr="00162EFB">
        <w:rPr>
          <w:rFonts w:asciiTheme="minorHAnsi" w:hAnsiTheme="minorHAnsi" w:cstheme="minorHAnsi"/>
          <w:b/>
        </w:rPr>
        <w:t>Minutes</w:t>
      </w:r>
      <w:r w:rsidR="005B3D75" w:rsidRPr="00162EFB">
        <w:rPr>
          <w:rFonts w:asciiTheme="minorHAnsi" w:hAnsiTheme="minorHAnsi" w:cstheme="minorHAnsi"/>
          <w:b/>
        </w:rPr>
        <w:t>:</w:t>
      </w:r>
      <w:r w:rsidR="005B3D75">
        <w:rPr>
          <w:rFonts w:asciiTheme="minorHAnsi" w:hAnsiTheme="minorHAnsi" w:cstheme="minorHAnsi"/>
          <w:bCs/>
        </w:rPr>
        <w:t xml:space="preserve">  Are they stand alone</w:t>
      </w:r>
      <w:r w:rsidR="00162EFB">
        <w:rPr>
          <w:rFonts w:asciiTheme="minorHAnsi" w:hAnsiTheme="minorHAnsi" w:cstheme="minorHAnsi"/>
          <w:bCs/>
        </w:rPr>
        <w:t xml:space="preserve"> documents</w:t>
      </w:r>
      <w:r w:rsidR="005B3D75">
        <w:rPr>
          <w:rFonts w:asciiTheme="minorHAnsi" w:hAnsiTheme="minorHAnsi" w:cstheme="minorHAnsi"/>
          <w:bCs/>
        </w:rPr>
        <w:t>?</w:t>
      </w:r>
      <w:r w:rsidR="00162EFB">
        <w:rPr>
          <w:rFonts w:asciiTheme="minorHAnsi" w:hAnsiTheme="minorHAnsi" w:cstheme="minorHAnsi"/>
          <w:bCs/>
        </w:rPr>
        <w:t xml:space="preserve">  Staff records only what is said, be sure to speak up.  </w:t>
      </w:r>
    </w:p>
    <w:p w14:paraId="743E9609" w14:textId="4C4122B7" w:rsidR="007F76C4" w:rsidRPr="004D5E18" w:rsidRDefault="007F76C4" w:rsidP="007F76C4">
      <w:pPr>
        <w:pStyle w:val="ListParagraph"/>
        <w:numPr>
          <w:ilvl w:val="1"/>
          <w:numId w:val="26"/>
        </w:numPr>
        <w:rPr>
          <w:rFonts w:asciiTheme="minorHAnsi" w:hAnsiTheme="minorHAnsi" w:cstheme="minorHAnsi"/>
          <w:bCs/>
        </w:rPr>
      </w:pPr>
      <w:r w:rsidRPr="00162EFB">
        <w:rPr>
          <w:rFonts w:asciiTheme="minorHAnsi" w:hAnsiTheme="minorHAnsi" w:cstheme="minorHAnsi"/>
          <w:b/>
        </w:rPr>
        <w:t>Checklists</w:t>
      </w:r>
      <w:r w:rsidR="005B3D75" w:rsidRPr="00162EFB">
        <w:rPr>
          <w:rFonts w:asciiTheme="minorHAnsi" w:hAnsiTheme="minorHAnsi" w:cstheme="minorHAnsi"/>
          <w:b/>
        </w:rPr>
        <w:t>:</w:t>
      </w:r>
      <w:r w:rsidR="005B3D75">
        <w:rPr>
          <w:rFonts w:asciiTheme="minorHAnsi" w:hAnsiTheme="minorHAnsi" w:cstheme="minorHAnsi"/>
          <w:bCs/>
        </w:rPr>
        <w:t xml:space="preserve">  All necessary</w:t>
      </w:r>
      <w:r w:rsidR="00162EFB">
        <w:rPr>
          <w:rFonts w:asciiTheme="minorHAnsi" w:hAnsiTheme="minorHAnsi" w:cstheme="minorHAnsi"/>
          <w:bCs/>
        </w:rPr>
        <w:t xml:space="preserve"> one</w:t>
      </w:r>
      <w:r w:rsidR="00907CF6">
        <w:rPr>
          <w:rFonts w:asciiTheme="minorHAnsi" w:hAnsiTheme="minorHAnsi" w:cstheme="minorHAnsi"/>
          <w:bCs/>
        </w:rPr>
        <w:t>s</w:t>
      </w:r>
      <w:r w:rsidR="005B3D75">
        <w:rPr>
          <w:rFonts w:asciiTheme="minorHAnsi" w:hAnsiTheme="minorHAnsi" w:cstheme="minorHAnsi"/>
          <w:bCs/>
        </w:rPr>
        <w:t xml:space="preserve"> for each study uploaded into IRBIS?</w:t>
      </w:r>
    </w:p>
    <w:p w14:paraId="7D3BCBA8" w14:textId="78B6B368" w:rsidR="007F76C4" w:rsidRDefault="007F76C4" w:rsidP="007F76C4">
      <w:pPr>
        <w:pStyle w:val="ListParagraph"/>
        <w:numPr>
          <w:ilvl w:val="1"/>
          <w:numId w:val="26"/>
        </w:numPr>
        <w:rPr>
          <w:rFonts w:cstheme="minorHAnsi"/>
          <w:bCs/>
        </w:rPr>
      </w:pPr>
      <w:r w:rsidRPr="00162EFB">
        <w:rPr>
          <w:rFonts w:asciiTheme="minorHAnsi" w:hAnsiTheme="minorHAnsi" w:cstheme="minorHAnsi"/>
          <w:b/>
        </w:rPr>
        <w:t>Stipulations</w:t>
      </w:r>
      <w:r w:rsidR="00027CD1">
        <w:rPr>
          <w:rFonts w:asciiTheme="minorHAnsi" w:hAnsiTheme="minorHAnsi" w:cstheme="minorHAnsi"/>
          <w:b/>
        </w:rPr>
        <w:t xml:space="preserve">, waivers, Cat 9 </w:t>
      </w:r>
      <w:r w:rsidRPr="00162EFB">
        <w:rPr>
          <w:rFonts w:asciiTheme="minorHAnsi" w:hAnsiTheme="minorHAnsi" w:cstheme="minorHAnsi"/>
          <w:b/>
        </w:rPr>
        <w:t>and notes</w:t>
      </w:r>
      <w:r w:rsidR="00162EFB" w:rsidRPr="00162EFB">
        <w:rPr>
          <w:rFonts w:asciiTheme="minorHAnsi" w:hAnsiTheme="minorHAnsi" w:cstheme="minorHAnsi"/>
          <w:bCs/>
        </w:rPr>
        <w:t>:</w:t>
      </w:r>
      <w:r w:rsidR="00162EFB">
        <w:rPr>
          <w:rFonts w:asciiTheme="minorHAnsi" w:hAnsiTheme="minorHAnsi" w:cstheme="minorHAnsi"/>
          <w:bCs/>
        </w:rPr>
        <w:t xml:space="preserve">  Additional discussions complete</w:t>
      </w:r>
      <w:r w:rsidR="00027CD1">
        <w:rPr>
          <w:rFonts w:asciiTheme="minorHAnsi" w:hAnsiTheme="minorHAnsi" w:cstheme="minorHAnsi"/>
          <w:bCs/>
        </w:rPr>
        <w:t xml:space="preserve"> on why or why not</w:t>
      </w:r>
      <w:r w:rsidR="00162EFB">
        <w:rPr>
          <w:rFonts w:asciiTheme="minorHAnsi" w:hAnsiTheme="minorHAnsi" w:cstheme="minorHAnsi"/>
          <w:bCs/>
        </w:rPr>
        <w:t xml:space="preserve">?  </w:t>
      </w:r>
    </w:p>
    <w:p w14:paraId="5B74A6B6" w14:textId="2AB595EB" w:rsidR="007F76C4" w:rsidRDefault="007F76C4" w:rsidP="007F76C4">
      <w:pPr>
        <w:rPr>
          <w:rFonts w:cstheme="minorHAnsi"/>
          <w:bCs/>
        </w:rPr>
      </w:pPr>
    </w:p>
    <w:p w14:paraId="12E4E97E" w14:textId="35B9BB1C" w:rsidR="007F76C4" w:rsidRPr="004D5E18" w:rsidRDefault="007F76C4" w:rsidP="004D5E18">
      <w:pPr>
        <w:rPr>
          <w:rFonts w:ascii="Bahnschrift SemiBold" w:hAnsi="Bahnschrift SemiBold" w:cstheme="minorHAnsi"/>
          <w:bCs/>
          <w:color w:val="7030A0"/>
          <w:sz w:val="32"/>
          <w:szCs w:val="32"/>
        </w:rPr>
      </w:pPr>
      <w:r w:rsidRPr="004D5E18">
        <w:rPr>
          <w:rFonts w:ascii="Bahnschrift SemiBold" w:hAnsi="Bahnschrift SemiBold" w:cstheme="minorHAnsi"/>
          <w:bCs/>
          <w:color w:val="7030A0"/>
          <w:sz w:val="32"/>
          <w:szCs w:val="32"/>
        </w:rPr>
        <w:t>Remember:  If you don’t remember what you ate for dinner last Tuesday, then how will you remember your comments on a protocol reviewed 3 months ago or in 4 years when the FDA audits the file?</w:t>
      </w:r>
    </w:p>
    <w:sectPr w:rsidR="007F76C4" w:rsidRPr="004D5E18" w:rsidSect="00162EFB">
      <w:headerReference w:type="default" r:id="rId11"/>
      <w:footerReference w:type="even" r:id="rId12"/>
      <w:footerReference w:type="default" r:id="rId13"/>
      <w:pgSz w:w="12240" w:h="15840"/>
      <w:pgMar w:top="900" w:right="630" w:bottom="994" w:left="99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ABCF" w14:textId="77777777" w:rsidR="000F7585" w:rsidRDefault="000F7585" w:rsidP="009E6903">
      <w:pPr>
        <w:spacing w:after="0" w:line="240" w:lineRule="auto"/>
      </w:pPr>
      <w:r>
        <w:separator/>
      </w:r>
    </w:p>
  </w:endnote>
  <w:endnote w:type="continuationSeparator" w:id="0">
    <w:p w14:paraId="486AF488" w14:textId="77777777" w:rsidR="000F7585" w:rsidRDefault="000F7585" w:rsidP="009E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6B69"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25452" w14:textId="77777777" w:rsidR="000F7585" w:rsidRDefault="000F7585" w:rsidP="000F7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1A68"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14D">
      <w:rPr>
        <w:rStyle w:val="PageNumber"/>
        <w:noProof/>
      </w:rPr>
      <w:t>1</w:t>
    </w:r>
    <w:r>
      <w:rPr>
        <w:rStyle w:val="PageNumber"/>
      </w:rPr>
      <w:fldChar w:fldCharType="end"/>
    </w:r>
  </w:p>
  <w:p w14:paraId="08E9CC1F" w14:textId="77777777" w:rsidR="000F7585" w:rsidRPr="0044384A" w:rsidRDefault="000F7585" w:rsidP="000F7585">
    <w:pPr>
      <w:pStyle w:val="Footer"/>
      <w:tabs>
        <w:tab w:val="clear" w:pos="8640"/>
        <w:tab w:val="right" w:pos="9000"/>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68B3" w14:textId="77777777" w:rsidR="000F7585" w:rsidRDefault="000F7585" w:rsidP="009E6903">
      <w:pPr>
        <w:spacing w:after="0" w:line="240" w:lineRule="auto"/>
      </w:pPr>
      <w:r>
        <w:separator/>
      </w:r>
    </w:p>
  </w:footnote>
  <w:footnote w:type="continuationSeparator" w:id="0">
    <w:p w14:paraId="120C29B7" w14:textId="77777777" w:rsidR="000F7585" w:rsidRDefault="000F7585" w:rsidP="009E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33F8" w14:textId="77777777" w:rsidR="000F7585" w:rsidRPr="00212D9C" w:rsidRDefault="00344D26" w:rsidP="000F7585">
    <w:pPr>
      <w:pStyle w:val="Header"/>
    </w:pPr>
    <w:r>
      <w:rPr>
        <w:b/>
        <w:noProof/>
      </w:rPr>
      <mc:AlternateContent>
        <mc:Choice Requires="wps">
          <w:drawing>
            <wp:anchor distT="0" distB="0" distL="114300" distR="114300" simplePos="0" relativeHeight="251659264" behindDoc="0" locked="0" layoutInCell="1" allowOverlap="1" wp14:anchorId="7281F182" wp14:editId="7E1B079A">
              <wp:simplePos x="0" y="0"/>
              <wp:positionH relativeFrom="column">
                <wp:posOffset>137160</wp:posOffset>
              </wp:positionH>
              <wp:positionV relativeFrom="page">
                <wp:posOffset>342900</wp:posOffset>
              </wp:positionV>
              <wp:extent cx="3931920" cy="685800"/>
              <wp:effectExtent l="13335" t="952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
                      </a:xfrm>
                      <a:prstGeom prst="rect">
                        <a:avLst/>
                      </a:prstGeom>
                      <a:solidFill>
                        <a:srgbClr val="FFFFFF"/>
                      </a:solidFill>
                      <a:ln w="9525">
                        <a:solidFill>
                          <a:srgbClr val="FFFFFF"/>
                        </a:solidFill>
                        <a:miter lim="800000"/>
                        <a:headEnd/>
                        <a:tailEnd/>
                      </a:ln>
                    </wps:spPr>
                    <wps:txbx>
                      <w:txbxContent>
                        <w:p w14:paraId="6DFF970E" w14:textId="77777777" w:rsidR="000F7585" w:rsidRDefault="000F7585" w:rsidP="000F75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1F182" id="_x0000_t202" coordsize="21600,21600" o:spt="202" path="m,l,21600r21600,l21600,xe">
              <v:stroke joinstyle="miter"/>
              <v:path gradientshapeok="t" o:connecttype="rect"/>
            </v:shapetype>
            <v:shape id="Text Box 1" o:spid="_x0000_s1026" type="#_x0000_t202" style="position:absolute;margin-left:10.8pt;margin-top:27pt;width:309.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" strokecolor="white">
              <v:textbox>
                <w:txbxContent>
                  <w:p w14:paraId="6DFF970E" w14:textId="77777777" w:rsidR="000F7585" w:rsidRDefault="000F7585" w:rsidP="000F7585">
                    <w:pPr>
                      <w:pStyle w:val="Heading2"/>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B4C"/>
    <w:multiLevelType w:val="multilevel"/>
    <w:tmpl w:val="5F66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6076B"/>
    <w:multiLevelType w:val="multilevel"/>
    <w:tmpl w:val="75B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F5426"/>
    <w:multiLevelType w:val="hybridMultilevel"/>
    <w:tmpl w:val="4FF0FA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7E6972"/>
    <w:multiLevelType w:val="hybridMultilevel"/>
    <w:tmpl w:val="2F961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B32B2"/>
    <w:multiLevelType w:val="hybridMultilevel"/>
    <w:tmpl w:val="3118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54359"/>
    <w:multiLevelType w:val="hybridMultilevel"/>
    <w:tmpl w:val="039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80D88"/>
    <w:multiLevelType w:val="hybridMultilevel"/>
    <w:tmpl w:val="8EF26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16C8D"/>
    <w:multiLevelType w:val="hybridMultilevel"/>
    <w:tmpl w:val="7B0E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37F09"/>
    <w:multiLevelType w:val="hybridMultilevel"/>
    <w:tmpl w:val="8284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761AF"/>
    <w:multiLevelType w:val="multilevel"/>
    <w:tmpl w:val="89E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0199D"/>
    <w:multiLevelType w:val="hybridMultilevel"/>
    <w:tmpl w:val="36805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6019B"/>
    <w:multiLevelType w:val="hybridMultilevel"/>
    <w:tmpl w:val="C18237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1694E"/>
    <w:multiLevelType w:val="hybridMultilevel"/>
    <w:tmpl w:val="9BCE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556E0"/>
    <w:multiLevelType w:val="multilevel"/>
    <w:tmpl w:val="200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D1B3A"/>
    <w:multiLevelType w:val="multilevel"/>
    <w:tmpl w:val="383A559E"/>
    <w:lvl w:ilvl="0">
      <w:start w:val="1"/>
      <w:numFmt w:val="upperLetter"/>
      <w:lvlText w:val="%1"/>
      <w:lvlJc w:val="left"/>
      <w:pPr>
        <w:ind w:left="901" w:hanging="549"/>
      </w:pPr>
      <w:rPr>
        <w:rFonts w:hint="default"/>
      </w:rPr>
    </w:lvl>
    <w:lvl w:ilvl="1">
      <w:start w:val="7"/>
      <w:numFmt w:val="decimal"/>
      <w:lvlText w:val="%1.%2."/>
      <w:lvlJc w:val="left"/>
      <w:pPr>
        <w:ind w:left="901" w:hanging="549"/>
      </w:pPr>
      <w:rPr>
        <w:rFonts w:ascii="Arial" w:eastAsia="Arial" w:hAnsi="Arial" w:hint="default"/>
        <w:b/>
        <w:bCs/>
        <w:color w:val="333333"/>
        <w:w w:val="99"/>
        <w:sz w:val="26"/>
        <w:szCs w:val="26"/>
      </w:rPr>
    </w:lvl>
    <w:lvl w:ilvl="2">
      <w:start w:val="1"/>
      <w:numFmt w:val="decimal"/>
      <w:lvlText w:val="%1.%2.%3."/>
      <w:lvlJc w:val="left"/>
      <w:pPr>
        <w:ind w:left="980" w:hanging="600"/>
      </w:pPr>
      <w:rPr>
        <w:rFonts w:ascii="Arial" w:eastAsia="Arial" w:hAnsi="Arial" w:hint="default"/>
        <w:color w:val="333333"/>
        <w:w w:val="99"/>
        <w:sz w:val="20"/>
        <w:szCs w:val="20"/>
      </w:rPr>
    </w:lvl>
    <w:lvl w:ilvl="3">
      <w:start w:val="1"/>
      <w:numFmt w:val="bullet"/>
      <w:lvlText w:val="•"/>
      <w:lvlJc w:val="left"/>
      <w:pPr>
        <w:ind w:left="3157" w:hanging="600"/>
      </w:pPr>
      <w:rPr>
        <w:rFonts w:hint="default"/>
      </w:rPr>
    </w:lvl>
    <w:lvl w:ilvl="4">
      <w:start w:val="1"/>
      <w:numFmt w:val="bullet"/>
      <w:lvlText w:val="•"/>
      <w:lvlJc w:val="left"/>
      <w:pPr>
        <w:ind w:left="4246" w:hanging="600"/>
      </w:pPr>
      <w:rPr>
        <w:rFonts w:hint="default"/>
      </w:rPr>
    </w:lvl>
    <w:lvl w:ilvl="5">
      <w:start w:val="1"/>
      <w:numFmt w:val="bullet"/>
      <w:lvlText w:val="•"/>
      <w:lvlJc w:val="left"/>
      <w:pPr>
        <w:ind w:left="5335" w:hanging="600"/>
      </w:pPr>
      <w:rPr>
        <w:rFonts w:hint="default"/>
      </w:rPr>
    </w:lvl>
    <w:lvl w:ilvl="6">
      <w:start w:val="1"/>
      <w:numFmt w:val="bullet"/>
      <w:lvlText w:val="•"/>
      <w:lvlJc w:val="left"/>
      <w:pPr>
        <w:ind w:left="6424" w:hanging="600"/>
      </w:pPr>
      <w:rPr>
        <w:rFonts w:hint="default"/>
      </w:rPr>
    </w:lvl>
    <w:lvl w:ilvl="7">
      <w:start w:val="1"/>
      <w:numFmt w:val="bullet"/>
      <w:lvlText w:val="•"/>
      <w:lvlJc w:val="left"/>
      <w:pPr>
        <w:ind w:left="7513" w:hanging="600"/>
      </w:pPr>
      <w:rPr>
        <w:rFonts w:hint="default"/>
      </w:rPr>
    </w:lvl>
    <w:lvl w:ilvl="8">
      <w:start w:val="1"/>
      <w:numFmt w:val="bullet"/>
      <w:lvlText w:val="•"/>
      <w:lvlJc w:val="left"/>
      <w:pPr>
        <w:ind w:left="8602" w:hanging="600"/>
      </w:pPr>
      <w:rPr>
        <w:rFonts w:hint="default"/>
      </w:rPr>
    </w:lvl>
  </w:abstractNum>
  <w:abstractNum w:abstractNumId="15" w15:restartNumberingAfterBreak="0">
    <w:nsid w:val="499E677E"/>
    <w:multiLevelType w:val="hybridMultilevel"/>
    <w:tmpl w:val="9A3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248FF"/>
    <w:multiLevelType w:val="hybridMultilevel"/>
    <w:tmpl w:val="58C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479EE"/>
    <w:multiLevelType w:val="hybridMultilevel"/>
    <w:tmpl w:val="B9904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62351"/>
    <w:multiLevelType w:val="hybridMultilevel"/>
    <w:tmpl w:val="0668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6E6133"/>
    <w:multiLevelType w:val="multilevel"/>
    <w:tmpl w:val="6988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0057CC"/>
    <w:multiLevelType w:val="multilevel"/>
    <w:tmpl w:val="0CAEB2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30E507C"/>
    <w:multiLevelType w:val="hybridMultilevel"/>
    <w:tmpl w:val="DC6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B354F"/>
    <w:multiLevelType w:val="multilevel"/>
    <w:tmpl w:val="A1E2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81270"/>
    <w:multiLevelType w:val="hybridMultilevel"/>
    <w:tmpl w:val="EACA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022A8"/>
    <w:multiLevelType w:val="hybridMultilevel"/>
    <w:tmpl w:val="2640F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32B26"/>
    <w:multiLevelType w:val="hybridMultilevel"/>
    <w:tmpl w:val="0FE294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AF6060"/>
    <w:multiLevelType w:val="hybridMultilevel"/>
    <w:tmpl w:val="DE028A4E"/>
    <w:lvl w:ilvl="0" w:tplc="3C168462">
      <w:start w:val="1"/>
      <w:numFmt w:val="upperRoman"/>
      <w:lvlText w:val="%1."/>
      <w:lvlJc w:val="left"/>
      <w:pPr>
        <w:ind w:left="1080" w:hanging="72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735514">
    <w:abstractNumId w:val="10"/>
  </w:num>
  <w:num w:numId="2" w16cid:durableId="1230767111">
    <w:abstractNumId w:val="24"/>
  </w:num>
  <w:num w:numId="3" w16cid:durableId="543761365">
    <w:abstractNumId w:val="6"/>
  </w:num>
  <w:num w:numId="4" w16cid:durableId="1216619944">
    <w:abstractNumId w:val="16"/>
  </w:num>
  <w:num w:numId="5" w16cid:durableId="1156842546">
    <w:abstractNumId w:val="2"/>
  </w:num>
  <w:num w:numId="6" w16cid:durableId="937521759">
    <w:abstractNumId w:val="4"/>
  </w:num>
  <w:num w:numId="7" w16cid:durableId="292951767">
    <w:abstractNumId w:val="25"/>
  </w:num>
  <w:num w:numId="8" w16cid:durableId="1092778445">
    <w:abstractNumId w:val="3"/>
  </w:num>
  <w:num w:numId="9" w16cid:durableId="2006475832">
    <w:abstractNumId w:val="23"/>
  </w:num>
  <w:num w:numId="10" w16cid:durableId="1909149204">
    <w:abstractNumId w:val="17"/>
  </w:num>
  <w:num w:numId="11" w16cid:durableId="208692045">
    <w:abstractNumId w:val="8"/>
  </w:num>
  <w:num w:numId="12" w16cid:durableId="556667249">
    <w:abstractNumId w:val="7"/>
  </w:num>
  <w:num w:numId="13" w16cid:durableId="1447844116">
    <w:abstractNumId w:val="12"/>
  </w:num>
  <w:num w:numId="14" w16cid:durableId="332874346">
    <w:abstractNumId w:val="15"/>
  </w:num>
  <w:num w:numId="15" w16cid:durableId="921724631">
    <w:abstractNumId w:val="14"/>
  </w:num>
  <w:num w:numId="16" w16cid:durableId="1525291734">
    <w:abstractNumId w:val="9"/>
  </w:num>
  <w:num w:numId="17" w16cid:durableId="652149647">
    <w:abstractNumId w:val="0"/>
  </w:num>
  <w:num w:numId="18" w16cid:durableId="853882935">
    <w:abstractNumId w:val="1"/>
  </w:num>
  <w:num w:numId="19" w16cid:durableId="1189444782">
    <w:abstractNumId w:val="19"/>
  </w:num>
  <w:num w:numId="20" w16cid:durableId="1970164855">
    <w:abstractNumId w:val="22"/>
  </w:num>
  <w:num w:numId="21" w16cid:durableId="361639504">
    <w:abstractNumId w:val="13"/>
  </w:num>
  <w:num w:numId="22" w16cid:durableId="896281604">
    <w:abstractNumId w:val="21"/>
  </w:num>
  <w:num w:numId="23" w16cid:durableId="1498378116">
    <w:abstractNumId w:val="20"/>
  </w:num>
  <w:num w:numId="24" w16cid:durableId="1255750768">
    <w:abstractNumId w:val="18"/>
  </w:num>
  <w:num w:numId="25" w16cid:durableId="1895582038">
    <w:abstractNumId w:val="5"/>
  </w:num>
  <w:num w:numId="26" w16cid:durableId="799150422">
    <w:abstractNumId w:val="11"/>
  </w:num>
  <w:num w:numId="27" w16cid:durableId="10114463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01"/>
    <w:rsid w:val="00025901"/>
    <w:rsid w:val="00027CD1"/>
    <w:rsid w:val="000F7585"/>
    <w:rsid w:val="00162EFB"/>
    <w:rsid w:val="001779BB"/>
    <w:rsid w:val="001C00F7"/>
    <w:rsid w:val="00344D26"/>
    <w:rsid w:val="00374615"/>
    <w:rsid w:val="003841A9"/>
    <w:rsid w:val="003D0723"/>
    <w:rsid w:val="003D2422"/>
    <w:rsid w:val="0040265C"/>
    <w:rsid w:val="004D5E18"/>
    <w:rsid w:val="005666E9"/>
    <w:rsid w:val="005B0D95"/>
    <w:rsid w:val="005B3D75"/>
    <w:rsid w:val="00750BDE"/>
    <w:rsid w:val="00775207"/>
    <w:rsid w:val="007A0A9B"/>
    <w:rsid w:val="007F76C4"/>
    <w:rsid w:val="00851201"/>
    <w:rsid w:val="00904615"/>
    <w:rsid w:val="00907CF6"/>
    <w:rsid w:val="009C27DB"/>
    <w:rsid w:val="009E6903"/>
    <w:rsid w:val="00A0614D"/>
    <w:rsid w:val="00A15E15"/>
    <w:rsid w:val="00A37DF2"/>
    <w:rsid w:val="00B30D94"/>
    <w:rsid w:val="00B4401E"/>
    <w:rsid w:val="00BC76E8"/>
    <w:rsid w:val="00D47752"/>
    <w:rsid w:val="00D83DD1"/>
    <w:rsid w:val="00DA6860"/>
    <w:rsid w:val="00E55BEF"/>
    <w:rsid w:val="00F40EC1"/>
    <w:rsid w:val="00F52647"/>
    <w:rsid w:val="00F54D1E"/>
    <w:rsid w:val="00FD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5706D"/>
  <w15:docId w15:val="{7833916D-D8F9-46A1-98DF-20A1131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qFormat/>
    <w:rsid w:val="009E6903"/>
    <w:pPr>
      <w:spacing w:after="0" w:line="240" w:lineRule="auto"/>
      <w:outlineLvl w:val="0"/>
    </w:pPr>
    <w:rPr>
      <w:rFonts w:ascii="Times New Roman" w:eastAsia="Times New Roman" w:hAnsi="Times New Roman" w:cs="Arial"/>
      <w:b/>
      <w:bCs/>
      <w:color w:val="333399"/>
      <w:kern w:val="36"/>
      <w:sz w:val="24"/>
      <w:szCs w:val="24"/>
    </w:rPr>
  </w:style>
  <w:style w:type="paragraph" w:styleId="Heading2">
    <w:name w:val="heading 2"/>
    <w:basedOn w:val="Normal"/>
    <w:link w:val="Heading2Char"/>
    <w:autoRedefine/>
    <w:qFormat/>
    <w:rsid w:val="009E6903"/>
    <w:pPr>
      <w:spacing w:after="100" w:afterAutospacing="1" w:line="240" w:lineRule="auto"/>
      <w:outlineLvl w:val="1"/>
    </w:pPr>
    <w:rPr>
      <w:rFonts w:ascii="Times New Roman" w:eastAsia="Times New Roman" w:hAnsi="Times New Roman" w:cs="Arial"/>
      <w:b/>
      <w:bCs/>
      <w:sz w:val="24"/>
      <w:szCs w:val="36"/>
    </w:rPr>
  </w:style>
  <w:style w:type="paragraph" w:styleId="Heading3">
    <w:name w:val="heading 3"/>
    <w:basedOn w:val="Normal"/>
    <w:next w:val="Normal"/>
    <w:link w:val="Heading3Char"/>
    <w:uiPriority w:val="9"/>
    <w:unhideWhenUsed/>
    <w:qFormat/>
    <w:rsid w:val="000259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1"/>
  </w:style>
  <w:style w:type="paragraph" w:styleId="BalloonText">
    <w:name w:val="Balloon Text"/>
    <w:basedOn w:val="Normal"/>
    <w:link w:val="BalloonTextChar"/>
    <w:uiPriority w:val="99"/>
    <w:semiHidden/>
    <w:unhideWhenUsed/>
    <w:rsid w:val="0085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01"/>
    <w:rPr>
      <w:rFonts w:ascii="Tahoma" w:hAnsi="Tahoma" w:cs="Tahoma"/>
      <w:sz w:val="16"/>
      <w:szCs w:val="16"/>
    </w:rPr>
  </w:style>
  <w:style w:type="paragraph" w:styleId="ListParagraph">
    <w:name w:val="List Paragraph"/>
    <w:basedOn w:val="Normal"/>
    <w:uiPriority w:val="34"/>
    <w:qFormat/>
    <w:rsid w:val="003D0723"/>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E6903"/>
    <w:rPr>
      <w:rFonts w:ascii="Times New Roman" w:eastAsia="Times New Roman" w:hAnsi="Times New Roman" w:cs="Arial"/>
      <w:b/>
      <w:bCs/>
      <w:color w:val="333399"/>
      <w:kern w:val="36"/>
      <w:sz w:val="24"/>
      <w:szCs w:val="24"/>
    </w:rPr>
  </w:style>
  <w:style w:type="character" w:customStyle="1" w:styleId="Heading2Char">
    <w:name w:val="Heading 2 Char"/>
    <w:basedOn w:val="DefaultParagraphFont"/>
    <w:link w:val="Heading2"/>
    <w:rsid w:val="009E6903"/>
    <w:rPr>
      <w:rFonts w:ascii="Times New Roman" w:eastAsia="Times New Roman" w:hAnsi="Times New Roman" w:cs="Arial"/>
      <w:b/>
      <w:bCs/>
      <w:sz w:val="24"/>
      <w:szCs w:val="36"/>
    </w:rPr>
  </w:style>
  <w:style w:type="paragraph" w:styleId="NormalWeb">
    <w:name w:val="Normal (Web)"/>
    <w:basedOn w:val="Normal"/>
    <w:uiPriority w:val="99"/>
    <w:rsid w:val="009E6903"/>
    <w:pPr>
      <w:spacing w:before="100" w:beforeAutospacing="1" w:after="100" w:afterAutospacing="1" w:line="240" w:lineRule="auto"/>
      <w:ind w:right="225"/>
    </w:pPr>
    <w:rPr>
      <w:rFonts w:ascii="Arial" w:eastAsia="Times New Roman" w:hAnsi="Arial" w:cs="Arial"/>
      <w:sz w:val="24"/>
      <w:szCs w:val="24"/>
    </w:rPr>
  </w:style>
  <w:style w:type="character" w:styleId="Hyperlink">
    <w:name w:val="Hyperlink"/>
    <w:basedOn w:val="DefaultParagraphFont"/>
    <w:rsid w:val="009E6903"/>
    <w:rPr>
      <w:color w:val="0000FF"/>
      <w:u w:val="single"/>
    </w:rPr>
  </w:style>
  <w:style w:type="paragraph" w:styleId="Footer">
    <w:name w:val="footer"/>
    <w:basedOn w:val="Normal"/>
    <w:link w:val="FooterChar"/>
    <w:rsid w:val="009E6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E6903"/>
    <w:rPr>
      <w:rFonts w:ascii="Times New Roman" w:eastAsia="Times New Roman" w:hAnsi="Times New Roman" w:cs="Times New Roman"/>
      <w:sz w:val="24"/>
      <w:szCs w:val="24"/>
    </w:rPr>
  </w:style>
  <w:style w:type="character" w:styleId="PageNumber">
    <w:name w:val="page number"/>
    <w:basedOn w:val="DefaultParagraphFont"/>
    <w:rsid w:val="009E6903"/>
  </w:style>
  <w:style w:type="paragraph" w:customStyle="1" w:styleId="Default">
    <w:name w:val="Default"/>
    <w:rsid w:val="001779B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2590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025901"/>
    <w:pPr>
      <w:widowControl w:val="0"/>
      <w:spacing w:after="0" w:line="240" w:lineRule="auto"/>
      <w:ind w:left="980" w:hanging="600"/>
    </w:pPr>
    <w:rPr>
      <w:rFonts w:ascii="Arial" w:eastAsia="Arial" w:hAnsi="Arial"/>
      <w:sz w:val="20"/>
      <w:szCs w:val="20"/>
    </w:rPr>
  </w:style>
  <w:style w:type="character" w:customStyle="1" w:styleId="BodyTextChar">
    <w:name w:val="Body Text Char"/>
    <w:basedOn w:val="DefaultParagraphFont"/>
    <w:link w:val="BodyText"/>
    <w:uiPriority w:val="1"/>
    <w:rsid w:val="00025901"/>
    <w:rPr>
      <w:rFonts w:ascii="Arial" w:eastAsia="Arial" w:hAnsi="Arial"/>
      <w:sz w:val="20"/>
      <w:szCs w:val="20"/>
    </w:rPr>
  </w:style>
  <w:style w:type="paragraph" w:customStyle="1" w:styleId="TableParagraph">
    <w:name w:val="Table Paragraph"/>
    <w:basedOn w:val="Normal"/>
    <w:uiPriority w:val="1"/>
    <w:qFormat/>
    <w:rsid w:val="00025901"/>
    <w:pPr>
      <w:widowControl w:val="0"/>
      <w:spacing w:after="0" w:line="240" w:lineRule="auto"/>
    </w:pPr>
  </w:style>
  <w:style w:type="character" w:styleId="Strong">
    <w:name w:val="Strong"/>
    <w:basedOn w:val="DefaultParagraphFont"/>
    <w:uiPriority w:val="22"/>
    <w:qFormat/>
    <w:rsid w:val="00B30D94"/>
    <w:rPr>
      <w:b/>
      <w:bCs/>
    </w:rPr>
  </w:style>
  <w:style w:type="character" w:customStyle="1" w:styleId="spelle">
    <w:name w:val="spelle"/>
    <w:basedOn w:val="DefaultParagraphFont"/>
    <w:rsid w:val="00B30D94"/>
  </w:style>
  <w:style w:type="character" w:styleId="UnresolvedMention">
    <w:name w:val="Unresolved Mention"/>
    <w:basedOn w:val="DefaultParagraphFont"/>
    <w:uiPriority w:val="99"/>
    <w:semiHidden/>
    <w:unhideWhenUsed/>
    <w:rsid w:val="00B4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09485">
      <w:bodyDiv w:val="1"/>
      <w:marLeft w:val="0"/>
      <w:marRight w:val="0"/>
      <w:marTop w:val="0"/>
      <w:marBottom w:val="0"/>
      <w:divBdr>
        <w:top w:val="none" w:sz="0" w:space="0" w:color="auto"/>
        <w:left w:val="none" w:sz="0" w:space="0" w:color="auto"/>
        <w:bottom w:val="none" w:sz="0" w:space="0" w:color="auto"/>
        <w:right w:val="none" w:sz="0" w:space="0" w:color="auto"/>
      </w:divBdr>
    </w:div>
    <w:div w:id="1071001438">
      <w:bodyDiv w:val="1"/>
      <w:marLeft w:val="0"/>
      <w:marRight w:val="0"/>
      <w:marTop w:val="0"/>
      <w:marBottom w:val="0"/>
      <w:divBdr>
        <w:top w:val="none" w:sz="0" w:space="0" w:color="auto"/>
        <w:left w:val="none" w:sz="0" w:space="0" w:color="auto"/>
        <w:bottom w:val="none" w:sz="0" w:space="0" w:color="auto"/>
        <w:right w:val="none" w:sz="0" w:space="0" w:color="auto"/>
      </w:divBdr>
    </w:div>
    <w:div w:id="1129275015">
      <w:bodyDiv w:val="1"/>
      <w:marLeft w:val="0"/>
      <w:marRight w:val="0"/>
      <w:marTop w:val="0"/>
      <w:marBottom w:val="0"/>
      <w:divBdr>
        <w:top w:val="none" w:sz="0" w:space="0" w:color="auto"/>
        <w:left w:val="none" w:sz="0" w:space="0" w:color="auto"/>
        <w:bottom w:val="none" w:sz="0" w:space="0" w:color="auto"/>
        <w:right w:val="none" w:sz="0" w:space="0" w:color="auto"/>
      </w:divBdr>
    </w:div>
    <w:div w:id="14786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minutes-institutional-review-board-irb-meetings-guidance-institutions-and-irbs.html-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hs.gov/ohrp/minutes-institutional-review-board-irb-meetings-guidance-institutions-and-irbs.html-0#_Toc491772342" TargetMode="External"/><Relationship Id="rId4" Type="http://schemas.openxmlformats.org/officeDocument/2006/relationships/webSettings" Target="webSettings.xml"/><Relationship Id="rId9" Type="http://schemas.openxmlformats.org/officeDocument/2006/relationships/hyperlink" Target="https://www.hhs.gov/ohrp/minutes-institutional-review-board-irb-meetings-guidance-institutions-and-irbs.htm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Coley, Charlotte H</dc:creator>
  <cp:keywords/>
  <cp:lastModifiedBy>Coley, Charlotte H</cp:lastModifiedBy>
  <cp:revision>9</cp:revision>
  <cp:lastPrinted>2014-07-22T13:44:00Z</cp:lastPrinted>
  <dcterms:created xsi:type="dcterms:W3CDTF">2022-08-25T13:48:00Z</dcterms:created>
  <dcterms:modified xsi:type="dcterms:W3CDTF">2022-08-25T18:09:00Z</dcterms:modified>
</cp:coreProperties>
</file>